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600" w:lineRule="exact"/>
        <w:jc w:val="left"/>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 xml:space="preserve">                                                                                    </w:t>
      </w:r>
    </w:p>
    <w:p>
      <w:pPr>
        <w:spacing w:line="560" w:lineRule="exact"/>
        <w:rPr>
          <w:rFonts w:ascii="宋体" w:hAnsi="宋体"/>
          <w:color w:val="000000"/>
          <w:sz w:val="36"/>
          <w:szCs w:val="36"/>
          <w:highlight w:val="none"/>
        </w:rPr>
      </w:pPr>
    </w:p>
    <w:p>
      <w:pPr>
        <w:widowControl/>
        <w:spacing w:line="700" w:lineRule="exact"/>
        <w:jc w:val="center"/>
        <w:rPr>
          <w:rFonts w:hint="eastAsia" w:ascii="宋体" w:hAnsi="宋体"/>
          <w:b/>
          <w:snapToGrid w:val="0"/>
          <w:color w:val="000000"/>
          <w:kern w:val="0"/>
          <w:sz w:val="36"/>
          <w:szCs w:val="36"/>
          <w:highlight w:val="none"/>
          <w:lang w:eastAsia="zh-CN"/>
        </w:rPr>
      </w:pPr>
      <w:r>
        <w:rPr>
          <w:rFonts w:hint="eastAsia" w:ascii="宋体" w:hAnsi="宋体"/>
          <w:b/>
          <w:snapToGrid w:val="0"/>
          <w:color w:val="000000"/>
          <w:kern w:val="0"/>
          <w:sz w:val="36"/>
          <w:szCs w:val="36"/>
          <w:highlight w:val="none"/>
          <w:lang w:eastAsia="zh-CN"/>
        </w:rPr>
        <w:t>成都市第四人民医院（</w:t>
      </w:r>
      <w:r>
        <w:rPr>
          <w:rFonts w:hint="eastAsia" w:ascii="宋体" w:hAnsi="宋体"/>
          <w:b/>
          <w:snapToGrid w:val="0"/>
          <w:color w:val="000000"/>
          <w:kern w:val="0"/>
          <w:sz w:val="36"/>
          <w:szCs w:val="36"/>
          <w:highlight w:val="none"/>
          <w:lang w:val="en-US" w:eastAsia="zh-CN"/>
        </w:rPr>
        <w:t>营门口院区、九江</w:t>
      </w:r>
      <w:r>
        <w:rPr>
          <w:rFonts w:hint="eastAsia" w:ascii="宋体" w:hAnsi="宋体"/>
          <w:b/>
          <w:snapToGrid w:val="0"/>
          <w:color w:val="000000"/>
          <w:kern w:val="0"/>
          <w:sz w:val="36"/>
          <w:szCs w:val="36"/>
          <w:highlight w:val="none"/>
          <w:lang w:eastAsia="zh-CN"/>
        </w:rPr>
        <w:t>院区）</w:t>
      </w:r>
    </w:p>
    <w:p>
      <w:pPr>
        <w:widowControl/>
        <w:spacing w:line="700" w:lineRule="exact"/>
        <w:jc w:val="center"/>
        <w:rPr>
          <w:rFonts w:hint="default" w:ascii="宋体" w:hAnsi="宋体"/>
          <w:b/>
          <w:snapToGrid w:val="0"/>
          <w:color w:val="000000"/>
          <w:kern w:val="0"/>
          <w:sz w:val="36"/>
          <w:szCs w:val="36"/>
          <w:highlight w:val="none"/>
          <w:lang w:val="en-US"/>
        </w:rPr>
      </w:pPr>
      <w:r>
        <w:rPr>
          <w:rFonts w:hint="eastAsia" w:ascii="宋体" w:hAnsi="宋体"/>
          <w:b/>
          <w:snapToGrid w:val="0"/>
          <w:color w:val="000000"/>
          <w:kern w:val="0"/>
          <w:sz w:val="36"/>
          <w:szCs w:val="36"/>
          <w:highlight w:val="none"/>
          <w:lang w:eastAsia="zh-CN"/>
        </w:rPr>
        <w:t>大宗食</w:t>
      </w:r>
      <w:r>
        <w:rPr>
          <w:rFonts w:hint="eastAsia" w:ascii="宋体" w:hAnsi="宋体"/>
          <w:b/>
          <w:snapToGrid w:val="0"/>
          <w:color w:val="000000"/>
          <w:kern w:val="0"/>
          <w:sz w:val="36"/>
          <w:szCs w:val="36"/>
          <w:highlight w:val="none"/>
          <w:lang w:val="en-US" w:eastAsia="zh-CN"/>
        </w:rPr>
        <w:t>材供应采购项目服务内容</w:t>
      </w:r>
    </w:p>
    <w:p>
      <w:pPr>
        <w:widowControl/>
        <w:spacing w:line="540" w:lineRule="exact"/>
        <w:jc w:val="center"/>
        <w:rPr>
          <w:rFonts w:ascii="宋体" w:hAnsi="宋体"/>
          <w:snapToGrid w:val="0"/>
          <w:color w:val="000000"/>
          <w:kern w:val="0"/>
          <w:sz w:val="24"/>
          <w:szCs w:val="24"/>
          <w:highlight w:val="none"/>
        </w:rPr>
      </w:pPr>
    </w:p>
    <w:p>
      <w:pPr>
        <w:spacing w:line="560" w:lineRule="exact"/>
        <w:jc w:val="center"/>
        <w:rPr>
          <w:rFonts w:ascii="宋体" w:hAnsi="宋体"/>
          <w:color w:val="000000"/>
          <w:sz w:val="24"/>
          <w:szCs w:val="24"/>
          <w:highlight w:val="none"/>
        </w:rPr>
      </w:pPr>
    </w:p>
    <w:p>
      <w:pPr>
        <w:spacing w:line="560" w:lineRule="exact"/>
        <w:jc w:val="center"/>
        <w:rPr>
          <w:rFonts w:ascii="宋体" w:hAnsi="宋体"/>
          <w:color w:val="000000"/>
          <w:sz w:val="24"/>
          <w:szCs w:val="24"/>
          <w:highlight w:val="none"/>
        </w:rPr>
      </w:pPr>
    </w:p>
    <w:p>
      <w:pPr>
        <w:spacing w:line="560" w:lineRule="exact"/>
        <w:jc w:val="center"/>
        <w:rPr>
          <w:rFonts w:hint="eastAsia" w:ascii="宋体" w:hAnsi="宋体"/>
          <w:color w:val="000000"/>
          <w:sz w:val="24"/>
          <w:szCs w:val="24"/>
          <w:highlight w:val="none"/>
        </w:rPr>
      </w:pPr>
    </w:p>
    <w:p>
      <w:pPr>
        <w:spacing w:line="560" w:lineRule="exact"/>
        <w:jc w:val="center"/>
        <w:rPr>
          <w:rFonts w:hint="eastAsia" w:ascii="宋体" w:hAnsi="宋体"/>
          <w:color w:val="000000"/>
          <w:sz w:val="24"/>
          <w:szCs w:val="24"/>
          <w:highlight w:val="none"/>
        </w:rPr>
      </w:pPr>
    </w:p>
    <w:p>
      <w:pPr>
        <w:spacing w:line="560" w:lineRule="exact"/>
        <w:jc w:val="center"/>
        <w:rPr>
          <w:rFonts w:hint="eastAsia" w:ascii="宋体" w:hAnsi="宋体"/>
          <w:color w:val="000000"/>
          <w:sz w:val="24"/>
          <w:szCs w:val="24"/>
          <w:highlight w:val="none"/>
        </w:rPr>
      </w:pPr>
    </w:p>
    <w:p>
      <w:pPr>
        <w:spacing w:line="560" w:lineRule="exact"/>
        <w:ind w:firstLine="1080" w:firstLineChars="450"/>
        <w:rPr>
          <w:rFonts w:hint="eastAsia" w:ascii="宋体" w:hAnsi="宋体"/>
          <w:color w:val="000000"/>
          <w:sz w:val="24"/>
          <w:szCs w:val="24"/>
          <w:highlight w:val="none"/>
        </w:rPr>
      </w:pPr>
    </w:p>
    <w:p>
      <w:pPr>
        <w:spacing w:line="560" w:lineRule="exact"/>
        <w:ind w:firstLine="720" w:firstLineChars="300"/>
        <w:rPr>
          <w:rFonts w:hint="eastAsia" w:ascii="宋体" w:hAnsi="宋体"/>
          <w:color w:val="000000" w:themeColor="text1"/>
          <w:sz w:val="24"/>
          <w:szCs w:val="24"/>
          <w:highlight w:val="none"/>
          <w:u w:val="single"/>
          <w14:textFill>
            <w14:solidFill>
              <w14:schemeClr w14:val="tx1"/>
            </w14:solidFill>
          </w14:textFill>
        </w:rPr>
      </w:pPr>
      <w:r>
        <w:rPr>
          <w:rFonts w:hint="eastAsia" w:ascii="宋体" w:hAnsi="宋体"/>
          <w:color w:val="000000"/>
          <w:sz w:val="24"/>
          <w:szCs w:val="24"/>
          <w:highlight w:val="none"/>
        </w:rPr>
        <w:t>项目名称：</w:t>
      </w:r>
      <w:r>
        <w:rPr>
          <w:rFonts w:hint="eastAsia" w:ascii="宋体" w:hAnsi="宋体"/>
          <w:color w:val="000000" w:themeColor="text1"/>
          <w:sz w:val="24"/>
          <w:szCs w:val="24"/>
          <w:highlight w:val="none"/>
          <w:u w:val="single"/>
          <w14:textFill>
            <w14:solidFill>
              <w14:schemeClr w14:val="tx1"/>
            </w14:solidFill>
          </w14:textFill>
        </w:rPr>
        <w:t>成都市第四人民医院</w:t>
      </w:r>
      <w:r>
        <w:rPr>
          <w:rFonts w:hint="eastAsia" w:ascii="宋体" w:hAnsi="宋体"/>
          <w:color w:val="000000" w:themeColor="text1"/>
          <w:sz w:val="24"/>
          <w:szCs w:val="24"/>
          <w:highlight w:val="none"/>
          <w:u w:val="single"/>
          <w:lang w:eastAsia="zh-CN"/>
          <w14:textFill>
            <w14:solidFill>
              <w14:schemeClr w14:val="tx1"/>
            </w14:solidFill>
          </w14:textFill>
        </w:rPr>
        <w:t>（营门口</w:t>
      </w:r>
      <w:r>
        <w:rPr>
          <w:rFonts w:hint="eastAsia" w:ascii="宋体" w:hAnsi="宋体"/>
          <w:color w:val="000000" w:themeColor="text1"/>
          <w:sz w:val="24"/>
          <w:szCs w:val="24"/>
          <w:highlight w:val="none"/>
          <w:u w:val="single"/>
          <w:lang w:val="en-US" w:eastAsia="zh-CN"/>
          <w14:textFill>
            <w14:solidFill>
              <w14:schemeClr w14:val="tx1"/>
            </w14:solidFill>
          </w14:textFill>
        </w:rPr>
        <w:t>院区</w:t>
      </w:r>
      <w:r>
        <w:rPr>
          <w:rFonts w:hint="eastAsia" w:ascii="宋体" w:hAnsi="宋体"/>
          <w:color w:val="000000" w:themeColor="text1"/>
          <w:sz w:val="24"/>
          <w:szCs w:val="24"/>
          <w:highlight w:val="none"/>
          <w:u w:val="single"/>
          <w:lang w:eastAsia="zh-CN"/>
          <w14:textFill>
            <w14:solidFill>
              <w14:schemeClr w14:val="tx1"/>
            </w14:solidFill>
          </w14:textFill>
        </w:rPr>
        <w:t>、九江</w:t>
      </w:r>
      <w:r>
        <w:rPr>
          <w:rFonts w:hint="eastAsia" w:ascii="宋体" w:hAnsi="宋体"/>
          <w:color w:val="000000" w:themeColor="text1"/>
          <w:sz w:val="24"/>
          <w:szCs w:val="24"/>
          <w:highlight w:val="none"/>
          <w:u w:val="single"/>
          <w:lang w:val="en-US" w:eastAsia="zh-CN"/>
          <w14:textFill>
            <w14:solidFill>
              <w14:schemeClr w14:val="tx1"/>
            </w14:solidFill>
          </w14:textFill>
        </w:rPr>
        <w:t>院区</w:t>
      </w:r>
      <w:r>
        <w:rPr>
          <w:rFonts w:hint="eastAsia" w:ascii="宋体" w:hAnsi="宋体"/>
          <w:color w:val="000000" w:themeColor="text1"/>
          <w:sz w:val="24"/>
          <w:szCs w:val="24"/>
          <w:highlight w:val="none"/>
          <w:u w:val="single"/>
          <w:lang w:eastAsia="zh-CN"/>
          <w14:textFill>
            <w14:solidFill>
              <w14:schemeClr w14:val="tx1"/>
            </w14:solidFill>
          </w14:textFill>
        </w:rPr>
        <w:t>）大宗食</w:t>
      </w:r>
      <w:r>
        <w:rPr>
          <w:rFonts w:hint="eastAsia" w:ascii="宋体" w:hAnsi="宋体"/>
          <w:color w:val="000000" w:themeColor="text1"/>
          <w:sz w:val="24"/>
          <w:szCs w:val="24"/>
          <w:highlight w:val="none"/>
          <w:u w:val="single"/>
          <w:lang w:val="en-US" w:eastAsia="zh-CN"/>
          <w14:textFill>
            <w14:solidFill>
              <w14:schemeClr w14:val="tx1"/>
            </w14:solidFill>
          </w14:textFill>
        </w:rPr>
        <w:t>材供应服务采购</w:t>
      </w:r>
      <w:r>
        <w:rPr>
          <w:rFonts w:hint="eastAsia" w:ascii="宋体" w:hAnsi="宋体"/>
          <w:color w:val="000000" w:themeColor="text1"/>
          <w:sz w:val="24"/>
          <w:szCs w:val="24"/>
          <w:highlight w:val="none"/>
          <w:u w:val="single"/>
          <w14:textFill>
            <w14:solidFill>
              <w14:schemeClr w14:val="tx1"/>
            </w14:solidFill>
          </w14:textFill>
        </w:rPr>
        <w:t>项目</w:t>
      </w:r>
    </w:p>
    <w:p>
      <w:pPr>
        <w:spacing w:line="560" w:lineRule="exact"/>
        <w:jc w:val="left"/>
        <w:rPr>
          <w:rFonts w:hint="eastAsia" w:ascii="宋体" w:hAnsi="宋体"/>
          <w:color w:val="000000" w:themeColor="text1"/>
          <w:sz w:val="24"/>
          <w:szCs w:val="24"/>
          <w:highlight w:val="none"/>
          <w14:textFill>
            <w14:solidFill>
              <w14:schemeClr w14:val="tx1"/>
            </w14:solidFill>
          </w14:textFill>
        </w:rPr>
      </w:pPr>
    </w:p>
    <w:p>
      <w:pPr>
        <w:spacing w:line="560" w:lineRule="exact"/>
        <w:ind w:firstLine="720" w:firstLineChars="300"/>
        <w:rPr>
          <w:rFonts w:hint="eastAsia" w:ascii="宋体" w:hAnsi="宋体"/>
          <w:color w:val="000000"/>
          <w:sz w:val="24"/>
          <w:szCs w:val="24"/>
          <w:highlight w:val="none"/>
        </w:rPr>
      </w:pPr>
      <w:r>
        <w:rPr>
          <w:rFonts w:ascii="宋体" w:hAnsi="宋体"/>
          <w:color w:val="000000"/>
          <w:sz w:val="24"/>
          <w:szCs w:val="24"/>
          <w:highlight w:val="none"/>
        </w:rPr>
        <w:t>采购人：</w:t>
      </w:r>
      <w:r>
        <w:rPr>
          <w:rFonts w:hint="eastAsia" w:ascii="宋体" w:hAnsi="宋体"/>
          <w:color w:val="000000"/>
          <w:sz w:val="24"/>
          <w:szCs w:val="24"/>
          <w:highlight w:val="none"/>
          <w:u w:val="single"/>
        </w:rPr>
        <w:t>成都市第四人民医院</w:t>
      </w:r>
    </w:p>
    <w:p>
      <w:pPr>
        <w:spacing w:line="560" w:lineRule="exact"/>
        <w:jc w:val="left"/>
        <w:rPr>
          <w:rFonts w:hint="eastAsia" w:ascii="宋体" w:hAnsi="宋体"/>
          <w:color w:val="000000"/>
          <w:sz w:val="24"/>
          <w:szCs w:val="24"/>
          <w:highlight w:val="none"/>
        </w:rPr>
      </w:pPr>
    </w:p>
    <w:p>
      <w:pPr>
        <w:spacing w:line="560" w:lineRule="exact"/>
        <w:jc w:val="left"/>
        <w:rPr>
          <w:rFonts w:hint="eastAsia" w:ascii="宋体" w:hAnsi="宋体"/>
          <w:color w:val="000000"/>
          <w:sz w:val="24"/>
          <w:szCs w:val="24"/>
          <w:highlight w:val="none"/>
        </w:rPr>
      </w:pPr>
    </w:p>
    <w:p>
      <w:pPr>
        <w:spacing w:line="560" w:lineRule="exact"/>
        <w:jc w:val="center"/>
        <w:rPr>
          <w:rFonts w:hint="eastAsia" w:ascii="宋体" w:hAnsi="宋体"/>
          <w:color w:val="000000"/>
          <w:sz w:val="24"/>
          <w:szCs w:val="24"/>
          <w:highlight w:val="none"/>
        </w:rPr>
      </w:pPr>
    </w:p>
    <w:p>
      <w:pPr>
        <w:spacing w:line="560" w:lineRule="exact"/>
        <w:jc w:val="center"/>
        <w:rPr>
          <w:rFonts w:hint="eastAsia" w:ascii="宋体" w:hAnsi="宋体"/>
          <w:color w:val="000000"/>
          <w:sz w:val="24"/>
          <w:szCs w:val="24"/>
          <w:highlight w:val="none"/>
        </w:rPr>
      </w:pPr>
    </w:p>
    <w:p>
      <w:pPr>
        <w:spacing w:line="560" w:lineRule="exact"/>
        <w:jc w:val="center"/>
        <w:rPr>
          <w:rFonts w:hint="eastAsia" w:ascii="宋体" w:hAnsi="宋体"/>
          <w:color w:val="000000"/>
          <w:sz w:val="24"/>
          <w:szCs w:val="24"/>
          <w:highlight w:val="none"/>
        </w:rPr>
      </w:pPr>
    </w:p>
    <w:p>
      <w:pPr>
        <w:spacing w:line="560" w:lineRule="exact"/>
        <w:jc w:val="center"/>
        <w:rPr>
          <w:rFonts w:hint="eastAsia" w:ascii="宋体" w:hAnsi="宋体"/>
          <w:color w:val="000000"/>
          <w:sz w:val="24"/>
          <w:szCs w:val="24"/>
          <w:highlight w:val="none"/>
        </w:rPr>
      </w:pPr>
    </w:p>
    <w:p>
      <w:pPr>
        <w:spacing w:line="560" w:lineRule="exact"/>
        <w:jc w:val="center"/>
        <w:rPr>
          <w:rFonts w:ascii="宋体" w:hAnsi="宋体"/>
          <w:color w:val="000000"/>
          <w:sz w:val="24"/>
          <w:szCs w:val="24"/>
          <w:highlight w:val="none"/>
        </w:rPr>
      </w:pPr>
    </w:p>
    <w:p>
      <w:pPr>
        <w:pStyle w:val="2"/>
        <w:rPr>
          <w:rFonts w:ascii="宋体" w:hAnsi="宋体"/>
          <w:color w:val="000000"/>
          <w:sz w:val="24"/>
          <w:szCs w:val="24"/>
          <w:highlight w:val="none"/>
        </w:rPr>
      </w:pPr>
    </w:p>
    <w:p>
      <w:pPr>
        <w:rPr>
          <w:rFonts w:ascii="宋体" w:hAnsi="宋体"/>
          <w:color w:val="000000"/>
          <w:sz w:val="24"/>
          <w:szCs w:val="24"/>
          <w:highlight w:val="none"/>
        </w:rPr>
      </w:pPr>
    </w:p>
    <w:p>
      <w:pPr>
        <w:pStyle w:val="2"/>
      </w:pPr>
    </w:p>
    <w:p>
      <w:pPr>
        <w:pStyle w:val="9"/>
        <w:numPr>
          <w:ilvl w:val="0"/>
          <w:numId w:val="0"/>
        </w:numPr>
        <w:shd w:val="clear" w:color="auto" w:fill="FFFFFF"/>
        <w:spacing w:before="0" w:beforeAutospacing="0" w:after="0" w:afterAutospacing="0" w:line="600" w:lineRule="exact"/>
        <w:ind w:firstLine="480" w:firstLineChars="200"/>
        <w:rPr>
          <w:rFonts w:hint="eastAsia" w:cs="Times New Roman"/>
          <w:color w:val="000000"/>
          <w:sz w:val="24"/>
          <w:szCs w:val="24"/>
          <w:highlight w:val="none"/>
          <w:lang w:eastAsia="zh-CN"/>
        </w:rPr>
      </w:pPr>
      <w:r>
        <w:rPr>
          <w:rFonts w:hint="eastAsia" w:cs="Times New Roman"/>
          <w:color w:val="000000"/>
          <w:sz w:val="24"/>
          <w:szCs w:val="24"/>
          <w:highlight w:val="none"/>
          <w:lang w:eastAsia="zh-CN"/>
        </w:rPr>
        <w:t>一、</w:t>
      </w:r>
      <w:r>
        <w:rPr>
          <w:rFonts w:cs="Times New Roman"/>
          <w:color w:val="000000"/>
          <w:sz w:val="24"/>
          <w:szCs w:val="24"/>
          <w:highlight w:val="none"/>
        </w:rPr>
        <w:t>项目名称：</w:t>
      </w:r>
      <w:r>
        <w:rPr>
          <w:rFonts w:hint="eastAsia" w:cs="Times New Roman"/>
          <w:color w:val="000000"/>
          <w:sz w:val="24"/>
          <w:szCs w:val="24"/>
          <w:highlight w:val="none"/>
          <w:lang w:eastAsia="zh-CN"/>
        </w:rPr>
        <w:t>成都市第四人民医院（</w:t>
      </w:r>
      <w:r>
        <w:rPr>
          <w:rFonts w:hint="eastAsia" w:cs="Times New Roman"/>
          <w:color w:val="000000"/>
          <w:sz w:val="24"/>
          <w:szCs w:val="24"/>
          <w:highlight w:val="none"/>
          <w:lang w:val="en-US" w:eastAsia="zh-CN"/>
        </w:rPr>
        <w:t>营门口院区、九江院区</w:t>
      </w:r>
      <w:r>
        <w:rPr>
          <w:rFonts w:hint="eastAsia" w:cs="Times New Roman"/>
          <w:color w:val="000000"/>
          <w:sz w:val="24"/>
          <w:szCs w:val="24"/>
          <w:highlight w:val="none"/>
          <w:lang w:eastAsia="zh-CN"/>
        </w:rPr>
        <w:t>）大宗食</w:t>
      </w:r>
      <w:r>
        <w:rPr>
          <w:rFonts w:hint="eastAsia" w:cs="Times New Roman"/>
          <w:color w:val="000000"/>
          <w:sz w:val="24"/>
          <w:szCs w:val="24"/>
          <w:highlight w:val="none"/>
          <w:lang w:val="en-US" w:eastAsia="zh-CN"/>
        </w:rPr>
        <w:t>材供应</w:t>
      </w:r>
      <w:r>
        <w:rPr>
          <w:rFonts w:hint="eastAsia" w:cs="Times New Roman"/>
          <w:color w:val="000000"/>
          <w:sz w:val="24"/>
          <w:szCs w:val="24"/>
          <w:highlight w:val="none"/>
          <w:lang w:eastAsia="zh-CN"/>
        </w:rPr>
        <w:t>服务</w:t>
      </w:r>
      <w:r>
        <w:rPr>
          <w:rFonts w:hint="eastAsia" w:cs="Times New Roman"/>
          <w:color w:val="000000"/>
          <w:sz w:val="24"/>
          <w:szCs w:val="24"/>
          <w:highlight w:val="none"/>
          <w:lang w:val="en-US" w:eastAsia="zh-CN"/>
        </w:rPr>
        <w:t>采购</w:t>
      </w:r>
      <w:r>
        <w:rPr>
          <w:rFonts w:hint="eastAsia" w:cs="Times New Roman"/>
          <w:color w:val="000000"/>
          <w:sz w:val="24"/>
          <w:szCs w:val="24"/>
          <w:highlight w:val="none"/>
          <w:lang w:eastAsia="zh-CN"/>
        </w:rPr>
        <w:t>项目</w:t>
      </w:r>
    </w:p>
    <w:p>
      <w:pPr>
        <w:pStyle w:val="9"/>
        <w:shd w:val="clear" w:color="auto" w:fill="FFFFFF"/>
        <w:spacing w:before="0" w:beforeAutospacing="0" w:after="0" w:afterAutospacing="0" w:line="600" w:lineRule="exact"/>
        <w:ind w:firstLine="480" w:firstLineChars="200"/>
        <w:rPr>
          <w:rFonts w:hint="eastAsia" w:eastAsia="宋体" w:cs="Times New Roman"/>
          <w:color w:val="000000"/>
          <w:sz w:val="24"/>
          <w:szCs w:val="24"/>
          <w:highlight w:val="none"/>
          <w:lang w:eastAsia="zh-CN"/>
        </w:rPr>
      </w:pPr>
      <w:r>
        <w:rPr>
          <w:rFonts w:cs="Times New Roman"/>
          <w:color w:val="000000"/>
          <w:sz w:val="24"/>
          <w:szCs w:val="24"/>
          <w:highlight w:val="none"/>
        </w:rPr>
        <w:t>二、项目类别：</w:t>
      </w:r>
      <w:r>
        <w:rPr>
          <w:rFonts w:hint="eastAsia" w:cs="Times New Roman"/>
          <w:color w:val="000000"/>
          <w:sz w:val="24"/>
          <w:szCs w:val="24"/>
          <w:highlight w:val="none"/>
          <w:lang w:eastAsia="zh-CN"/>
        </w:rPr>
        <w:t>服务</w:t>
      </w:r>
    </w:p>
    <w:p>
      <w:pPr>
        <w:pStyle w:val="9"/>
        <w:shd w:val="clear" w:color="auto" w:fill="FFFFFF"/>
        <w:spacing w:before="0" w:beforeAutospacing="0" w:after="0" w:afterAutospacing="0" w:line="600" w:lineRule="exact"/>
        <w:ind w:firstLine="480" w:firstLineChars="200"/>
        <w:rPr>
          <w:rFonts w:hint="eastAsia" w:cs="Times New Roman"/>
          <w:color w:val="000000"/>
          <w:sz w:val="24"/>
          <w:szCs w:val="24"/>
          <w:highlight w:val="none"/>
        </w:rPr>
      </w:pPr>
      <w:r>
        <w:rPr>
          <w:rFonts w:cs="Times New Roman"/>
          <w:color w:val="000000"/>
          <w:sz w:val="24"/>
          <w:szCs w:val="24"/>
          <w:highlight w:val="none"/>
        </w:rPr>
        <w:t>三、采购项目行政</w:t>
      </w:r>
      <w:r>
        <w:rPr>
          <w:rFonts w:hint="eastAsia" w:cs="Times New Roman"/>
          <w:color w:val="000000"/>
          <w:sz w:val="24"/>
          <w:szCs w:val="24"/>
          <w:highlight w:val="none"/>
        </w:rPr>
        <w:t>区划</w:t>
      </w:r>
    </w:p>
    <w:p>
      <w:pPr>
        <w:pStyle w:val="9"/>
        <w:shd w:val="clear" w:color="auto" w:fill="FFFFFF"/>
        <w:spacing w:before="0" w:beforeAutospacing="0" w:after="0" w:afterAutospacing="0" w:line="600" w:lineRule="exact"/>
        <w:ind w:firstLine="480" w:firstLineChars="200"/>
        <w:rPr>
          <w:rFonts w:hint="default" w:eastAsia="宋体" w:cs="Times New Roman"/>
          <w:color w:val="000000"/>
          <w:sz w:val="24"/>
          <w:szCs w:val="24"/>
          <w:highlight w:val="none"/>
          <w:lang w:val="en-US" w:eastAsia="zh-CN"/>
        </w:rPr>
      </w:pPr>
      <w:r>
        <w:rPr>
          <w:rFonts w:cs="Times New Roman"/>
          <w:color w:val="000000"/>
          <w:sz w:val="24"/>
          <w:szCs w:val="24"/>
          <w:highlight w:val="none"/>
        </w:rPr>
        <w:t>1.本项</w:t>
      </w:r>
      <w:r>
        <w:rPr>
          <w:rFonts w:hint="eastAsia" w:cs="Times New Roman"/>
          <w:color w:val="000000"/>
          <w:sz w:val="24"/>
          <w:szCs w:val="24"/>
          <w:highlight w:val="none"/>
        </w:rPr>
        <w:t>目所属</w:t>
      </w:r>
      <w:r>
        <w:rPr>
          <w:rFonts w:cs="Times New Roman"/>
          <w:color w:val="000000"/>
          <w:sz w:val="24"/>
          <w:szCs w:val="24"/>
          <w:highlight w:val="none"/>
        </w:rPr>
        <w:t>行政</w:t>
      </w:r>
      <w:r>
        <w:rPr>
          <w:rFonts w:hint="eastAsia" w:cs="Times New Roman"/>
          <w:color w:val="000000"/>
          <w:sz w:val="24"/>
          <w:szCs w:val="24"/>
          <w:highlight w:val="none"/>
        </w:rPr>
        <w:t>区划</w:t>
      </w:r>
      <w:r>
        <w:rPr>
          <w:rFonts w:cs="Times New Roman"/>
          <w:color w:val="000000"/>
          <w:sz w:val="24"/>
          <w:szCs w:val="24"/>
          <w:highlight w:val="none"/>
        </w:rPr>
        <w:t>：</w:t>
      </w:r>
      <w:r>
        <w:rPr>
          <w:rFonts w:hint="eastAsia" w:cs="Times New Roman"/>
          <w:color w:val="000000"/>
          <w:sz w:val="24"/>
          <w:szCs w:val="24"/>
          <w:highlight w:val="none"/>
        </w:rPr>
        <w:t>成都市</w:t>
      </w:r>
      <w:r>
        <w:rPr>
          <w:rFonts w:hint="eastAsia" w:cs="Times New Roman"/>
          <w:color w:val="000000"/>
          <w:sz w:val="24"/>
          <w:szCs w:val="24"/>
          <w:highlight w:val="none"/>
          <w:lang w:val="en-US" w:eastAsia="zh-CN"/>
        </w:rPr>
        <w:t xml:space="preserve">   </w:t>
      </w:r>
    </w:p>
    <w:p>
      <w:pPr>
        <w:jc w:val="center"/>
        <w:rPr>
          <w:rFonts w:hint="eastAsia" w:ascii="黑体" w:hAnsi="黑体" w:eastAsia="黑体" w:cs="黑体"/>
          <w:bCs/>
          <w:sz w:val="24"/>
          <w:szCs w:val="24"/>
          <w:highlight w:val="none"/>
        </w:rPr>
      </w:pPr>
    </w:p>
    <w:p>
      <w:pPr>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采购标的汇总表</w:t>
      </w:r>
    </w:p>
    <w:tbl>
      <w:tblPr>
        <w:tblStyle w:val="10"/>
        <w:tblpPr w:leftFromText="180" w:rightFromText="180" w:vertAnchor="text" w:horzAnchor="page" w:tblpXSpec="center" w:tblpY="306"/>
        <w:tblOverlap w:val="never"/>
        <w:tblW w:w="7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848"/>
        <w:gridCol w:w="1799"/>
        <w:gridCol w:w="1425"/>
        <w:gridCol w:w="1035"/>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99" w:type="dxa"/>
            <w:noWrap/>
            <w:vAlign w:val="center"/>
          </w:tcPr>
          <w:p>
            <w:pPr>
              <w:jc w:val="center"/>
              <w:rPr>
                <w:rFonts w:ascii="宋体" w:hAnsi="宋体" w:cs="宋体"/>
                <w:b/>
                <w:bCs/>
                <w:sz w:val="22"/>
                <w:szCs w:val="22"/>
                <w:highlight w:val="none"/>
              </w:rPr>
            </w:pPr>
            <w:r>
              <w:rPr>
                <w:rFonts w:hint="eastAsia" w:ascii="宋体" w:hAnsi="宋体" w:cs="宋体"/>
                <w:b/>
                <w:bCs/>
                <w:sz w:val="22"/>
                <w:szCs w:val="22"/>
                <w:highlight w:val="none"/>
              </w:rPr>
              <w:t>包号</w:t>
            </w:r>
          </w:p>
        </w:tc>
        <w:tc>
          <w:tcPr>
            <w:tcW w:w="848" w:type="dxa"/>
            <w:noWrap/>
            <w:vAlign w:val="center"/>
          </w:tcPr>
          <w:p>
            <w:pPr>
              <w:jc w:val="center"/>
              <w:rPr>
                <w:rFonts w:ascii="宋体" w:hAnsi="宋体" w:cs="宋体"/>
                <w:b/>
                <w:bCs/>
                <w:sz w:val="22"/>
                <w:szCs w:val="22"/>
                <w:highlight w:val="none"/>
              </w:rPr>
            </w:pPr>
            <w:r>
              <w:rPr>
                <w:rFonts w:hint="eastAsia" w:ascii="宋体" w:hAnsi="宋体" w:cs="宋体"/>
                <w:b/>
                <w:bCs/>
                <w:sz w:val="22"/>
                <w:szCs w:val="22"/>
                <w:highlight w:val="none"/>
              </w:rPr>
              <w:t>序号</w:t>
            </w:r>
          </w:p>
        </w:tc>
        <w:tc>
          <w:tcPr>
            <w:tcW w:w="1799" w:type="dxa"/>
            <w:noWrap/>
            <w:vAlign w:val="center"/>
          </w:tcPr>
          <w:p>
            <w:pPr>
              <w:jc w:val="center"/>
              <w:rPr>
                <w:rFonts w:ascii="宋体" w:hAnsi="宋体" w:cs="宋体"/>
                <w:b/>
                <w:bCs/>
                <w:sz w:val="22"/>
                <w:szCs w:val="22"/>
                <w:highlight w:val="none"/>
              </w:rPr>
            </w:pPr>
            <w:r>
              <w:rPr>
                <w:rFonts w:hint="eastAsia" w:ascii="宋体" w:hAnsi="宋体" w:cs="宋体"/>
                <w:b/>
                <w:bCs/>
                <w:sz w:val="22"/>
                <w:szCs w:val="22"/>
                <w:highlight w:val="none"/>
              </w:rPr>
              <w:t>标的名称</w:t>
            </w:r>
          </w:p>
        </w:tc>
        <w:tc>
          <w:tcPr>
            <w:tcW w:w="1425" w:type="dxa"/>
            <w:noWrap/>
            <w:vAlign w:val="center"/>
          </w:tcPr>
          <w:p>
            <w:pPr>
              <w:jc w:val="center"/>
              <w:rPr>
                <w:rFonts w:ascii="宋体" w:hAnsi="宋体" w:cs="宋体"/>
                <w:b/>
                <w:bCs/>
                <w:sz w:val="22"/>
                <w:szCs w:val="22"/>
                <w:highlight w:val="none"/>
              </w:rPr>
            </w:pPr>
            <w:r>
              <w:rPr>
                <w:rFonts w:hint="eastAsia" w:ascii="宋体" w:hAnsi="宋体" w:cs="宋体"/>
                <w:b/>
                <w:bCs/>
                <w:sz w:val="22"/>
                <w:szCs w:val="22"/>
                <w:highlight w:val="none"/>
              </w:rPr>
              <w:t>计量单位</w:t>
            </w:r>
          </w:p>
        </w:tc>
        <w:tc>
          <w:tcPr>
            <w:tcW w:w="1035" w:type="dxa"/>
            <w:noWrap/>
            <w:vAlign w:val="center"/>
          </w:tcPr>
          <w:p>
            <w:pPr>
              <w:jc w:val="center"/>
              <w:rPr>
                <w:rFonts w:ascii="宋体" w:hAnsi="宋体" w:cs="宋体"/>
                <w:b/>
                <w:bCs/>
                <w:sz w:val="22"/>
                <w:szCs w:val="22"/>
                <w:highlight w:val="none"/>
              </w:rPr>
            </w:pPr>
            <w:r>
              <w:rPr>
                <w:rFonts w:hint="eastAsia" w:ascii="宋体" w:hAnsi="宋体" w:cs="宋体"/>
                <w:b/>
                <w:bCs/>
                <w:sz w:val="22"/>
                <w:szCs w:val="22"/>
                <w:highlight w:val="none"/>
              </w:rPr>
              <w:t>数量</w:t>
            </w:r>
          </w:p>
        </w:tc>
        <w:tc>
          <w:tcPr>
            <w:tcW w:w="1417" w:type="dxa"/>
            <w:noWrap/>
            <w:vAlign w:val="center"/>
          </w:tcPr>
          <w:p>
            <w:pPr>
              <w:jc w:val="center"/>
              <w:rPr>
                <w:rFonts w:ascii="宋体" w:hAnsi="宋体" w:cs="宋体"/>
                <w:b/>
                <w:bCs/>
                <w:sz w:val="22"/>
                <w:szCs w:val="22"/>
                <w:highlight w:val="none"/>
              </w:rPr>
            </w:pPr>
            <w:r>
              <w:rPr>
                <w:rFonts w:hint="eastAsia" w:ascii="宋体" w:hAnsi="宋体" w:cs="宋体"/>
                <w:b/>
                <w:bCs/>
                <w:sz w:val="22"/>
                <w:szCs w:val="22"/>
                <w:highlight w:val="none"/>
              </w:rPr>
              <w:t>是否</w:t>
            </w:r>
          </w:p>
          <w:p>
            <w:pPr>
              <w:jc w:val="center"/>
              <w:rPr>
                <w:rFonts w:ascii="宋体" w:hAnsi="宋体" w:cs="宋体"/>
                <w:b/>
                <w:bCs/>
                <w:sz w:val="22"/>
                <w:szCs w:val="22"/>
                <w:highlight w:val="none"/>
              </w:rPr>
            </w:pPr>
            <w:r>
              <w:rPr>
                <w:rFonts w:hint="eastAsia" w:ascii="宋体" w:hAnsi="宋体" w:cs="宋体"/>
                <w:b/>
                <w:bCs/>
                <w:sz w:val="22"/>
                <w:szCs w:val="22"/>
                <w:highlight w:val="none"/>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9" w:type="dxa"/>
            <w:noWrap/>
            <w:vAlign w:val="center"/>
          </w:tcPr>
          <w:p>
            <w:pPr>
              <w:jc w:val="center"/>
              <w:rPr>
                <w:rFonts w:ascii="宋体" w:hAnsi="宋体" w:cs="宋体"/>
                <w:sz w:val="22"/>
                <w:szCs w:val="22"/>
                <w:highlight w:val="none"/>
              </w:rPr>
            </w:pPr>
            <w:r>
              <w:rPr>
                <w:rFonts w:hint="eastAsia" w:ascii="宋体" w:hAnsi="宋体" w:cs="宋体"/>
                <w:sz w:val="22"/>
                <w:szCs w:val="22"/>
                <w:highlight w:val="none"/>
              </w:rPr>
              <w:t>1</w:t>
            </w:r>
          </w:p>
        </w:tc>
        <w:tc>
          <w:tcPr>
            <w:tcW w:w="848" w:type="dxa"/>
            <w:noWrap/>
            <w:vAlign w:val="center"/>
          </w:tcPr>
          <w:p>
            <w:pPr>
              <w:jc w:val="center"/>
              <w:rPr>
                <w:rFonts w:ascii="宋体" w:hAnsi="宋体" w:cs="宋体"/>
                <w:sz w:val="22"/>
                <w:szCs w:val="22"/>
                <w:highlight w:val="none"/>
              </w:rPr>
            </w:pPr>
            <w:r>
              <w:rPr>
                <w:rFonts w:hint="eastAsia" w:ascii="宋体" w:hAnsi="宋体" w:cs="宋体"/>
                <w:sz w:val="22"/>
                <w:szCs w:val="22"/>
                <w:highlight w:val="none"/>
              </w:rPr>
              <w:t>1</w:t>
            </w:r>
          </w:p>
        </w:tc>
        <w:tc>
          <w:tcPr>
            <w:tcW w:w="1799" w:type="dxa"/>
            <w:noWrap/>
            <w:vAlign w:val="center"/>
          </w:tcPr>
          <w:p>
            <w:pPr>
              <w:jc w:val="center"/>
              <w:rPr>
                <w:rFonts w:hint="eastAsia" w:ascii="宋体" w:hAnsi="宋体" w:eastAsia="宋体" w:cs="宋体"/>
                <w:color w:val="171717"/>
                <w:sz w:val="22"/>
                <w:szCs w:val="22"/>
                <w:highlight w:val="none"/>
                <w:lang w:val="en-US" w:eastAsia="zh-CN"/>
              </w:rPr>
            </w:pPr>
            <w:r>
              <w:rPr>
                <w:rFonts w:hint="eastAsia" w:ascii="宋体" w:hAnsi="宋体" w:cs="宋体"/>
                <w:color w:val="171717"/>
                <w:sz w:val="22"/>
                <w:szCs w:val="22"/>
                <w:highlight w:val="none"/>
              </w:rPr>
              <w:t>禽蛋肉</w:t>
            </w:r>
          </w:p>
        </w:tc>
        <w:tc>
          <w:tcPr>
            <w:tcW w:w="1425" w:type="dxa"/>
            <w:noWrap/>
            <w:vAlign w:val="center"/>
          </w:tcPr>
          <w:p>
            <w:pPr>
              <w:jc w:val="center"/>
              <w:rPr>
                <w:rFonts w:ascii="宋体" w:hAnsi="宋体" w:cs="宋体"/>
                <w:color w:val="171717"/>
                <w:sz w:val="22"/>
                <w:szCs w:val="22"/>
                <w:highlight w:val="none"/>
              </w:rPr>
            </w:pPr>
            <w:r>
              <w:rPr>
                <w:rFonts w:hint="eastAsia" w:ascii="宋体" w:hAnsi="宋体" w:cs="宋体"/>
                <w:color w:val="171717"/>
                <w:sz w:val="22"/>
                <w:szCs w:val="22"/>
                <w:highlight w:val="none"/>
              </w:rPr>
              <w:t>批</w:t>
            </w:r>
          </w:p>
        </w:tc>
        <w:tc>
          <w:tcPr>
            <w:tcW w:w="1035" w:type="dxa"/>
            <w:noWrap/>
            <w:vAlign w:val="center"/>
          </w:tcPr>
          <w:p>
            <w:pPr>
              <w:jc w:val="center"/>
              <w:rPr>
                <w:rFonts w:ascii="宋体" w:hAnsi="宋体" w:cs="宋体"/>
                <w:color w:val="171717"/>
                <w:sz w:val="22"/>
                <w:szCs w:val="22"/>
                <w:highlight w:val="none"/>
              </w:rPr>
            </w:pPr>
            <w:r>
              <w:rPr>
                <w:rFonts w:hint="eastAsia" w:ascii="宋体" w:hAnsi="宋体" w:cs="宋体"/>
                <w:color w:val="171717"/>
                <w:sz w:val="22"/>
                <w:szCs w:val="22"/>
                <w:highlight w:val="none"/>
              </w:rPr>
              <w:t>1</w:t>
            </w:r>
          </w:p>
        </w:tc>
        <w:tc>
          <w:tcPr>
            <w:tcW w:w="1417" w:type="dxa"/>
            <w:noWrap/>
            <w:vAlign w:val="center"/>
          </w:tcPr>
          <w:p>
            <w:pPr>
              <w:jc w:val="center"/>
              <w:rPr>
                <w:rFonts w:ascii="宋体" w:hAnsi="宋体" w:cs="宋体"/>
                <w:sz w:val="22"/>
                <w:szCs w:val="22"/>
                <w:highlight w:val="none"/>
              </w:rPr>
            </w:pPr>
            <w:r>
              <w:rPr>
                <w:rFonts w:hint="eastAsia" w:ascii="宋体" w:hAnsi="宋体" w:cs="宋体"/>
                <w:color w:val="171717"/>
                <w:sz w:val="22"/>
                <w:szCs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9" w:type="dxa"/>
            <w:noWrap/>
            <w:vAlign w:val="center"/>
          </w:tcPr>
          <w:p>
            <w:pPr>
              <w:jc w:val="center"/>
              <w:rPr>
                <w:rFonts w:ascii="宋体" w:hAnsi="宋体" w:cs="宋体"/>
                <w:sz w:val="22"/>
                <w:szCs w:val="22"/>
                <w:highlight w:val="none"/>
              </w:rPr>
            </w:pPr>
            <w:r>
              <w:rPr>
                <w:rFonts w:hint="eastAsia" w:ascii="宋体" w:hAnsi="宋体" w:cs="宋体"/>
                <w:sz w:val="22"/>
                <w:szCs w:val="22"/>
                <w:highlight w:val="none"/>
              </w:rPr>
              <w:t>2</w:t>
            </w:r>
          </w:p>
        </w:tc>
        <w:tc>
          <w:tcPr>
            <w:tcW w:w="848" w:type="dxa"/>
            <w:noWrap/>
            <w:vAlign w:val="center"/>
          </w:tcPr>
          <w:p>
            <w:pPr>
              <w:jc w:val="center"/>
              <w:rPr>
                <w:rFonts w:ascii="宋体" w:hAnsi="宋体" w:cs="宋体"/>
                <w:sz w:val="22"/>
                <w:szCs w:val="22"/>
                <w:highlight w:val="none"/>
              </w:rPr>
            </w:pPr>
            <w:r>
              <w:rPr>
                <w:rFonts w:hint="eastAsia" w:ascii="宋体" w:hAnsi="宋体" w:cs="宋体"/>
                <w:sz w:val="22"/>
                <w:szCs w:val="22"/>
                <w:highlight w:val="none"/>
              </w:rPr>
              <w:t>2</w:t>
            </w:r>
          </w:p>
        </w:tc>
        <w:tc>
          <w:tcPr>
            <w:tcW w:w="1799" w:type="dxa"/>
            <w:noWrap/>
            <w:vAlign w:val="center"/>
          </w:tcPr>
          <w:p>
            <w:pPr>
              <w:jc w:val="center"/>
              <w:rPr>
                <w:rFonts w:ascii="宋体" w:hAnsi="宋体" w:cs="宋体"/>
                <w:color w:val="171717"/>
                <w:sz w:val="22"/>
                <w:szCs w:val="22"/>
                <w:highlight w:val="none"/>
              </w:rPr>
            </w:pPr>
            <w:r>
              <w:rPr>
                <w:rFonts w:hint="eastAsia" w:ascii="宋体" w:hAnsi="宋体" w:cs="宋体"/>
                <w:color w:val="171717"/>
                <w:sz w:val="22"/>
                <w:szCs w:val="22"/>
                <w:highlight w:val="none"/>
              </w:rPr>
              <w:t>果蔬</w:t>
            </w:r>
          </w:p>
        </w:tc>
        <w:tc>
          <w:tcPr>
            <w:tcW w:w="1425" w:type="dxa"/>
            <w:noWrap/>
            <w:vAlign w:val="center"/>
          </w:tcPr>
          <w:p>
            <w:pPr>
              <w:jc w:val="center"/>
              <w:rPr>
                <w:rFonts w:ascii="宋体" w:hAnsi="宋体" w:cs="宋体"/>
                <w:color w:val="171717"/>
                <w:sz w:val="22"/>
                <w:szCs w:val="22"/>
                <w:highlight w:val="none"/>
              </w:rPr>
            </w:pPr>
            <w:r>
              <w:rPr>
                <w:rFonts w:hint="eastAsia" w:ascii="宋体" w:hAnsi="宋体" w:cs="宋体"/>
                <w:color w:val="171717"/>
                <w:sz w:val="22"/>
                <w:szCs w:val="22"/>
                <w:highlight w:val="none"/>
              </w:rPr>
              <w:t>批</w:t>
            </w:r>
          </w:p>
        </w:tc>
        <w:tc>
          <w:tcPr>
            <w:tcW w:w="1035" w:type="dxa"/>
            <w:noWrap/>
            <w:vAlign w:val="center"/>
          </w:tcPr>
          <w:p>
            <w:pPr>
              <w:jc w:val="center"/>
              <w:rPr>
                <w:rFonts w:ascii="宋体" w:hAnsi="宋体" w:cs="宋体"/>
                <w:color w:val="171717"/>
                <w:sz w:val="22"/>
                <w:szCs w:val="22"/>
                <w:highlight w:val="none"/>
              </w:rPr>
            </w:pPr>
            <w:r>
              <w:rPr>
                <w:rFonts w:hint="eastAsia" w:ascii="宋体" w:hAnsi="宋体" w:cs="宋体"/>
                <w:color w:val="171717"/>
                <w:sz w:val="22"/>
                <w:szCs w:val="22"/>
                <w:highlight w:val="none"/>
              </w:rPr>
              <w:t>1</w:t>
            </w:r>
          </w:p>
        </w:tc>
        <w:tc>
          <w:tcPr>
            <w:tcW w:w="1417" w:type="dxa"/>
            <w:noWrap/>
            <w:vAlign w:val="center"/>
          </w:tcPr>
          <w:p>
            <w:pPr>
              <w:jc w:val="center"/>
              <w:rPr>
                <w:rFonts w:ascii="宋体" w:hAnsi="宋体" w:cs="宋体"/>
                <w:sz w:val="22"/>
                <w:szCs w:val="22"/>
                <w:highlight w:val="none"/>
              </w:rPr>
            </w:pPr>
            <w:r>
              <w:rPr>
                <w:rFonts w:hint="eastAsia" w:ascii="宋体" w:hAnsi="宋体" w:cs="宋体"/>
                <w:sz w:val="22"/>
                <w:szCs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9" w:type="dxa"/>
            <w:noWrap/>
            <w:vAlign w:val="center"/>
          </w:tcPr>
          <w:p>
            <w:pPr>
              <w:jc w:val="center"/>
              <w:rPr>
                <w:rFonts w:ascii="宋体" w:hAnsi="宋体" w:cs="宋体"/>
                <w:sz w:val="22"/>
                <w:szCs w:val="22"/>
                <w:highlight w:val="none"/>
              </w:rPr>
            </w:pPr>
            <w:r>
              <w:rPr>
                <w:rFonts w:hint="eastAsia" w:ascii="宋体" w:hAnsi="宋体" w:cs="宋体"/>
                <w:sz w:val="22"/>
                <w:szCs w:val="22"/>
                <w:highlight w:val="none"/>
              </w:rPr>
              <w:t>3</w:t>
            </w:r>
          </w:p>
        </w:tc>
        <w:tc>
          <w:tcPr>
            <w:tcW w:w="848" w:type="dxa"/>
            <w:noWrap/>
            <w:vAlign w:val="center"/>
          </w:tcPr>
          <w:p>
            <w:pPr>
              <w:jc w:val="center"/>
              <w:rPr>
                <w:rFonts w:ascii="宋体" w:hAnsi="宋体" w:cs="宋体"/>
                <w:sz w:val="22"/>
                <w:szCs w:val="22"/>
                <w:highlight w:val="none"/>
              </w:rPr>
            </w:pPr>
            <w:r>
              <w:rPr>
                <w:rFonts w:hint="eastAsia" w:ascii="宋体" w:hAnsi="宋体" w:cs="宋体"/>
                <w:sz w:val="22"/>
                <w:szCs w:val="22"/>
                <w:highlight w:val="none"/>
              </w:rPr>
              <w:t>3</w:t>
            </w:r>
          </w:p>
        </w:tc>
        <w:tc>
          <w:tcPr>
            <w:tcW w:w="1799" w:type="dxa"/>
            <w:noWrap/>
            <w:vAlign w:val="center"/>
          </w:tcPr>
          <w:p>
            <w:pPr>
              <w:jc w:val="center"/>
              <w:rPr>
                <w:rFonts w:ascii="宋体" w:hAnsi="宋体" w:cs="宋体"/>
                <w:color w:val="171717"/>
                <w:sz w:val="22"/>
                <w:szCs w:val="22"/>
                <w:highlight w:val="none"/>
              </w:rPr>
            </w:pPr>
            <w:r>
              <w:rPr>
                <w:rFonts w:hint="eastAsia" w:ascii="宋体" w:hAnsi="宋体" w:cs="宋体"/>
                <w:color w:val="171717"/>
                <w:sz w:val="22"/>
                <w:szCs w:val="22"/>
                <w:highlight w:val="none"/>
              </w:rPr>
              <w:t>副食品</w:t>
            </w:r>
          </w:p>
        </w:tc>
        <w:tc>
          <w:tcPr>
            <w:tcW w:w="1425" w:type="dxa"/>
            <w:noWrap/>
            <w:vAlign w:val="center"/>
          </w:tcPr>
          <w:p>
            <w:pPr>
              <w:jc w:val="center"/>
              <w:rPr>
                <w:rFonts w:ascii="宋体" w:hAnsi="宋体" w:cs="宋体"/>
                <w:color w:val="171717"/>
                <w:sz w:val="22"/>
                <w:szCs w:val="22"/>
                <w:highlight w:val="none"/>
              </w:rPr>
            </w:pPr>
            <w:r>
              <w:rPr>
                <w:rFonts w:hint="eastAsia" w:ascii="宋体" w:hAnsi="宋体" w:cs="宋体"/>
                <w:color w:val="171717"/>
                <w:sz w:val="22"/>
                <w:szCs w:val="22"/>
                <w:highlight w:val="none"/>
              </w:rPr>
              <w:t>批</w:t>
            </w:r>
          </w:p>
        </w:tc>
        <w:tc>
          <w:tcPr>
            <w:tcW w:w="1035" w:type="dxa"/>
            <w:noWrap/>
            <w:vAlign w:val="center"/>
          </w:tcPr>
          <w:p>
            <w:pPr>
              <w:jc w:val="center"/>
              <w:rPr>
                <w:rFonts w:ascii="宋体" w:hAnsi="宋体" w:cs="宋体"/>
                <w:color w:val="171717"/>
                <w:sz w:val="22"/>
                <w:szCs w:val="22"/>
                <w:highlight w:val="none"/>
              </w:rPr>
            </w:pPr>
            <w:r>
              <w:rPr>
                <w:rFonts w:hint="eastAsia" w:ascii="宋体" w:hAnsi="宋体" w:cs="宋体"/>
                <w:color w:val="171717"/>
                <w:sz w:val="22"/>
                <w:szCs w:val="22"/>
                <w:highlight w:val="none"/>
              </w:rPr>
              <w:t>1</w:t>
            </w:r>
          </w:p>
        </w:tc>
        <w:tc>
          <w:tcPr>
            <w:tcW w:w="1417" w:type="dxa"/>
            <w:noWrap/>
            <w:vAlign w:val="center"/>
          </w:tcPr>
          <w:p>
            <w:pPr>
              <w:jc w:val="center"/>
              <w:rPr>
                <w:rFonts w:ascii="宋体" w:hAnsi="宋体" w:cs="宋体"/>
                <w:sz w:val="22"/>
                <w:szCs w:val="22"/>
                <w:highlight w:val="none"/>
              </w:rPr>
            </w:pPr>
            <w:r>
              <w:rPr>
                <w:rFonts w:hint="eastAsia" w:ascii="宋体" w:hAnsi="宋体" w:cs="宋体"/>
                <w:color w:val="171717"/>
                <w:sz w:val="22"/>
                <w:szCs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99" w:type="dxa"/>
            <w:noWrap/>
            <w:vAlign w:val="center"/>
          </w:tcPr>
          <w:p>
            <w:pPr>
              <w:jc w:val="center"/>
              <w:rPr>
                <w:rFonts w:ascii="宋体" w:hAnsi="宋体" w:cs="宋体"/>
                <w:sz w:val="22"/>
                <w:szCs w:val="22"/>
                <w:highlight w:val="none"/>
              </w:rPr>
            </w:pPr>
            <w:r>
              <w:rPr>
                <w:rFonts w:hint="eastAsia" w:ascii="宋体" w:hAnsi="宋体" w:cs="宋体"/>
                <w:sz w:val="22"/>
                <w:szCs w:val="22"/>
                <w:highlight w:val="none"/>
              </w:rPr>
              <w:t>4</w:t>
            </w:r>
          </w:p>
        </w:tc>
        <w:tc>
          <w:tcPr>
            <w:tcW w:w="848" w:type="dxa"/>
            <w:noWrap/>
            <w:vAlign w:val="center"/>
          </w:tcPr>
          <w:p>
            <w:pPr>
              <w:jc w:val="center"/>
              <w:rPr>
                <w:rFonts w:ascii="宋体" w:hAnsi="宋体" w:cs="宋体"/>
                <w:sz w:val="22"/>
                <w:szCs w:val="22"/>
                <w:highlight w:val="none"/>
              </w:rPr>
            </w:pPr>
            <w:r>
              <w:rPr>
                <w:rFonts w:hint="eastAsia" w:ascii="宋体" w:hAnsi="宋体" w:cs="宋体"/>
                <w:sz w:val="22"/>
                <w:szCs w:val="22"/>
                <w:highlight w:val="none"/>
              </w:rPr>
              <w:t>4</w:t>
            </w:r>
          </w:p>
        </w:tc>
        <w:tc>
          <w:tcPr>
            <w:tcW w:w="1799" w:type="dxa"/>
            <w:noWrap/>
            <w:vAlign w:val="center"/>
          </w:tcPr>
          <w:p>
            <w:pPr>
              <w:jc w:val="center"/>
              <w:rPr>
                <w:rFonts w:ascii="宋体" w:hAnsi="宋体" w:cs="宋体"/>
                <w:color w:val="171717"/>
                <w:sz w:val="22"/>
                <w:szCs w:val="22"/>
                <w:highlight w:val="none"/>
              </w:rPr>
            </w:pPr>
            <w:r>
              <w:rPr>
                <w:rFonts w:hint="eastAsia" w:ascii="宋体" w:hAnsi="宋体" w:cs="宋体"/>
                <w:color w:val="171717"/>
                <w:sz w:val="22"/>
                <w:szCs w:val="22"/>
                <w:highlight w:val="none"/>
              </w:rPr>
              <w:t>粮油</w:t>
            </w:r>
          </w:p>
        </w:tc>
        <w:tc>
          <w:tcPr>
            <w:tcW w:w="1425" w:type="dxa"/>
            <w:noWrap/>
            <w:vAlign w:val="center"/>
          </w:tcPr>
          <w:p>
            <w:pPr>
              <w:jc w:val="center"/>
              <w:rPr>
                <w:rFonts w:ascii="宋体" w:hAnsi="宋体" w:cs="宋体"/>
                <w:color w:val="171717"/>
                <w:sz w:val="22"/>
                <w:szCs w:val="22"/>
                <w:highlight w:val="none"/>
              </w:rPr>
            </w:pPr>
            <w:r>
              <w:rPr>
                <w:rFonts w:hint="eastAsia" w:ascii="宋体" w:hAnsi="宋体" w:cs="宋体"/>
                <w:color w:val="171717"/>
                <w:sz w:val="22"/>
                <w:szCs w:val="22"/>
                <w:highlight w:val="none"/>
              </w:rPr>
              <w:t>批</w:t>
            </w:r>
          </w:p>
        </w:tc>
        <w:tc>
          <w:tcPr>
            <w:tcW w:w="1035" w:type="dxa"/>
            <w:noWrap/>
            <w:vAlign w:val="center"/>
          </w:tcPr>
          <w:p>
            <w:pPr>
              <w:jc w:val="center"/>
              <w:rPr>
                <w:rFonts w:ascii="宋体" w:hAnsi="宋体" w:cs="宋体"/>
                <w:color w:val="171717"/>
                <w:sz w:val="22"/>
                <w:szCs w:val="22"/>
                <w:highlight w:val="none"/>
              </w:rPr>
            </w:pPr>
            <w:r>
              <w:rPr>
                <w:rFonts w:hint="eastAsia" w:ascii="宋体" w:hAnsi="宋体" w:cs="宋体"/>
                <w:color w:val="171717"/>
                <w:sz w:val="22"/>
                <w:szCs w:val="22"/>
                <w:highlight w:val="none"/>
              </w:rPr>
              <w:t>1</w:t>
            </w:r>
          </w:p>
        </w:tc>
        <w:tc>
          <w:tcPr>
            <w:tcW w:w="1417" w:type="dxa"/>
            <w:noWrap/>
            <w:vAlign w:val="center"/>
          </w:tcPr>
          <w:p>
            <w:pPr>
              <w:jc w:val="center"/>
              <w:rPr>
                <w:rFonts w:ascii="宋体" w:hAnsi="宋体" w:cs="宋体"/>
                <w:sz w:val="22"/>
                <w:szCs w:val="22"/>
                <w:highlight w:val="none"/>
              </w:rPr>
            </w:pPr>
            <w:r>
              <w:rPr>
                <w:rFonts w:hint="eastAsia" w:ascii="宋体" w:hAnsi="宋体" w:cs="宋体"/>
                <w:sz w:val="22"/>
                <w:szCs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99" w:type="dxa"/>
            <w:noWrap/>
            <w:vAlign w:val="center"/>
          </w:tcPr>
          <w:p>
            <w:pPr>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5</w:t>
            </w:r>
          </w:p>
        </w:tc>
        <w:tc>
          <w:tcPr>
            <w:tcW w:w="848" w:type="dxa"/>
            <w:noWrap/>
            <w:vAlign w:val="center"/>
          </w:tcPr>
          <w:p>
            <w:pPr>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5</w:t>
            </w:r>
          </w:p>
        </w:tc>
        <w:tc>
          <w:tcPr>
            <w:tcW w:w="1799" w:type="dxa"/>
            <w:noWrap/>
            <w:vAlign w:val="center"/>
          </w:tcPr>
          <w:p>
            <w:pPr>
              <w:jc w:val="center"/>
              <w:rPr>
                <w:rFonts w:hint="eastAsia" w:ascii="宋体" w:hAnsi="宋体" w:eastAsia="宋体" w:cs="宋体"/>
                <w:color w:val="171717"/>
                <w:sz w:val="22"/>
                <w:szCs w:val="22"/>
                <w:highlight w:val="none"/>
                <w:lang w:eastAsia="zh-CN"/>
              </w:rPr>
            </w:pPr>
            <w:r>
              <w:rPr>
                <w:rFonts w:hint="eastAsia" w:ascii="宋体" w:hAnsi="宋体" w:cs="宋体"/>
                <w:color w:val="171717"/>
                <w:sz w:val="22"/>
                <w:szCs w:val="22"/>
                <w:highlight w:val="none"/>
                <w:lang w:eastAsia="zh-CN"/>
              </w:rPr>
              <w:t>半成品</w:t>
            </w:r>
          </w:p>
        </w:tc>
        <w:tc>
          <w:tcPr>
            <w:tcW w:w="1425" w:type="dxa"/>
            <w:noWrap/>
            <w:vAlign w:val="center"/>
          </w:tcPr>
          <w:p>
            <w:pPr>
              <w:jc w:val="center"/>
              <w:rPr>
                <w:rFonts w:hint="eastAsia" w:ascii="宋体" w:hAnsi="宋体" w:cs="宋体"/>
                <w:color w:val="171717"/>
                <w:sz w:val="22"/>
                <w:szCs w:val="22"/>
                <w:highlight w:val="none"/>
              </w:rPr>
            </w:pPr>
            <w:r>
              <w:rPr>
                <w:rFonts w:hint="eastAsia" w:ascii="宋体" w:hAnsi="宋体" w:cs="宋体"/>
                <w:color w:val="171717"/>
                <w:sz w:val="22"/>
                <w:szCs w:val="22"/>
                <w:highlight w:val="none"/>
              </w:rPr>
              <w:t>批</w:t>
            </w:r>
          </w:p>
        </w:tc>
        <w:tc>
          <w:tcPr>
            <w:tcW w:w="1035" w:type="dxa"/>
            <w:noWrap/>
            <w:vAlign w:val="center"/>
          </w:tcPr>
          <w:p>
            <w:pPr>
              <w:jc w:val="center"/>
              <w:rPr>
                <w:rFonts w:hint="eastAsia" w:ascii="宋体" w:hAnsi="宋体" w:eastAsia="宋体" w:cs="宋体"/>
                <w:color w:val="171717"/>
                <w:kern w:val="2"/>
                <w:sz w:val="22"/>
                <w:szCs w:val="22"/>
                <w:highlight w:val="none"/>
                <w:lang w:val="en-US" w:eastAsia="zh-CN" w:bidi="ar-SA"/>
              </w:rPr>
            </w:pPr>
            <w:r>
              <w:rPr>
                <w:rFonts w:hint="eastAsia" w:ascii="宋体" w:hAnsi="宋体" w:cs="宋体"/>
                <w:color w:val="171717"/>
                <w:sz w:val="22"/>
                <w:szCs w:val="22"/>
                <w:highlight w:val="none"/>
              </w:rPr>
              <w:t>1</w:t>
            </w:r>
          </w:p>
        </w:tc>
        <w:tc>
          <w:tcPr>
            <w:tcW w:w="1417" w:type="dxa"/>
            <w:noWrap/>
            <w:vAlign w:val="center"/>
          </w:tcPr>
          <w:p>
            <w:pPr>
              <w:jc w:val="center"/>
              <w:rPr>
                <w:rFonts w:hint="eastAsia" w:ascii="宋体" w:hAnsi="宋体" w:eastAsia="宋体" w:cs="宋体"/>
                <w:kern w:val="2"/>
                <w:sz w:val="22"/>
                <w:szCs w:val="22"/>
                <w:highlight w:val="none"/>
                <w:lang w:val="en-US" w:eastAsia="zh-CN" w:bidi="ar-SA"/>
              </w:rPr>
            </w:pPr>
            <w:r>
              <w:rPr>
                <w:rFonts w:hint="eastAsia" w:ascii="宋体" w:hAnsi="宋体" w:cs="宋体"/>
                <w:sz w:val="22"/>
                <w:szCs w:val="22"/>
                <w:highlight w:val="none"/>
              </w:rPr>
              <w:t>否</w:t>
            </w:r>
          </w:p>
        </w:tc>
      </w:tr>
    </w:tbl>
    <w:p>
      <w:pPr>
        <w:numPr>
          <w:ilvl w:val="0"/>
          <w:numId w:val="0"/>
        </w:numPr>
        <w:ind w:firstLine="1920" w:firstLineChars="800"/>
        <w:rPr>
          <w:rFonts w:hint="eastAsia" w:ascii="宋体" w:hAnsi="宋体" w:cs="宋体"/>
          <w:bCs/>
          <w:sz w:val="24"/>
          <w:szCs w:val="24"/>
          <w:highlight w:val="none"/>
        </w:rPr>
      </w:pPr>
    </w:p>
    <w:p>
      <w:pPr>
        <w:jc w:val="center"/>
        <w:rPr>
          <w:rFonts w:hint="eastAsia" w:ascii="黑体" w:hAnsi="黑体" w:eastAsia="黑体" w:cs="黑体"/>
          <w:bCs/>
          <w:sz w:val="24"/>
          <w:szCs w:val="24"/>
          <w:highlight w:val="none"/>
        </w:rPr>
      </w:pPr>
    </w:p>
    <w:p>
      <w:pPr>
        <w:jc w:val="center"/>
        <w:rPr>
          <w:rFonts w:hint="eastAsia" w:ascii="黑体" w:hAnsi="黑体" w:eastAsia="黑体" w:cs="黑体"/>
          <w:bCs/>
          <w:sz w:val="24"/>
          <w:szCs w:val="24"/>
          <w:highlight w:val="none"/>
        </w:rPr>
      </w:pPr>
    </w:p>
    <w:p>
      <w:pPr>
        <w:jc w:val="center"/>
        <w:rPr>
          <w:rFonts w:hint="eastAsia" w:ascii="黑体" w:hAnsi="黑体" w:eastAsia="黑体" w:cs="黑体"/>
          <w:bCs/>
          <w:sz w:val="24"/>
          <w:szCs w:val="24"/>
          <w:highlight w:val="none"/>
        </w:rPr>
      </w:pPr>
    </w:p>
    <w:p>
      <w:pPr>
        <w:jc w:val="center"/>
        <w:rPr>
          <w:rFonts w:hint="eastAsia" w:ascii="黑体" w:hAnsi="黑体" w:eastAsia="黑体" w:cs="黑体"/>
          <w:bCs/>
          <w:sz w:val="24"/>
          <w:szCs w:val="24"/>
          <w:highlight w:val="none"/>
        </w:rPr>
      </w:pPr>
    </w:p>
    <w:p>
      <w:pPr>
        <w:jc w:val="center"/>
        <w:rPr>
          <w:rFonts w:hint="eastAsia" w:ascii="黑体" w:hAnsi="黑体" w:eastAsia="黑体" w:cs="黑体"/>
          <w:bCs/>
          <w:sz w:val="24"/>
          <w:szCs w:val="24"/>
          <w:highlight w:val="none"/>
        </w:rPr>
      </w:pPr>
    </w:p>
    <w:p>
      <w:pPr>
        <w:jc w:val="center"/>
        <w:rPr>
          <w:rFonts w:hint="eastAsia" w:ascii="黑体" w:hAnsi="黑体" w:eastAsia="黑体" w:cs="黑体"/>
          <w:bCs/>
          <w:sz w:val="24"/>
          <w:szCs w:val="24"/>
          <w:highlight w:val="none"/>
        </w:rPr>
      </w:pPr>
    </w:p>
    <w:p>
      <w:pPr>
        <w:jc w:val="center"/>
        <w:rPr>
          <w:rFonts w:hint="eastAsia" w:ascii="黑体" w:hAnsi="黑体" w:eastAsia="黑体" w:cs="黑体"/>
          <w:bCs/>
          <w:sz w:val="24"/>
          <w:szCs w:val="24"/>
          <w:highlight w:val="none"/>
        </w:rPr>
      </w:pPr>
    </w:p>
    <w:p>
      <w:pPr>
        <w:jc w:val="center"/>
        <w:rPr>
          <w:rFonts w:hint="eastAsia" w:ascii="黑体" w:hAnsi="黑体" w:eastAsia="黑体" w:cs="黑体"/>
          <w:bCs/>
          <w:sz w:val="24"/>
          <w:szCs w:val="24"/>
          <w:highlight w:val="none"/>
        </w:rPr>
      </w:pPr>
    </w:p>
    <w:p>
      <w:pPr>
        <w:jc w:val="center"/>
        <w:rPr>
          <w:rFonts w:hint="eastAsia" w:ascii="黑体" w:hAnsi="黑体" w:eastAsia="黑体" w:cs="黑体"/>
          <w:bCs/>
          <w:sz w:val="24"/>
          <w:szCs w:val="24"/>
          <w:highlight w:val="none"/>
        </w:rPr>
      </w:pPr>
    </w:p>
    <w:p>
      <w:pPr>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技术要求和商务要求</w:t>
      </w:r>
    </w:p>
    <w:p>
      <w:pPr>
        <w:rPr>
          <w:rFonts w:ascii="宋体" w:hAnsi="宋体" w:cs="宋体"/>
          <w:color w:val="000000"/>
          <w:sz w:val="24"/>
          <w:szCs w:val="24"/>
          <w:highlight w:val="none"/>
        </w:rPr>
      </w:pPr>
      <w:r>
        <w:rPr>
          <w:rFonts w:hint="eastAsia" w:ascii="宋体" w:hAnsi="宋体" w:cs="宋体"/>
          <w:color w:val="000000"/>
          <w:sz w:val="24"/>
          <w:szCs w:val="24"/>
          <w:highlight w:val="none"/>
        </w:rPr>
        <w:t>第一包：</w:t>
      </w:r>
    </w:p>
    <w:p>
      <w:pPr>
        <w:rPr>
          <w:rFonts w:hint="eastAsia" w:ascii="宋体" w:hAnsi="宋体" w:cs="宋体"/>
          <w:color w:val="000000"/>
          <w:sz w:val="24"/>
          <w:szCs w:val="24"/>
          <w:highlight w:val="none"/>
        </w:rPr>
      </w:pPr>
      <w:r>
        <w:rPr>
          <w:rFonts w:hint="eastAsia" w:ascii="宋体" w:hAnsi="宋体" w:cs="宋体"/>
          <w:color w:val="000000"/>
          <w:sz w:val="24"/>
          <w:szCs w:val="24"/>
          <w:highlight w:val="none"/>
        </w:rPr>
        <w:t>1.禽蛋肉</w:t>
      </w:r>
      <w:r>
        <w:rPr>
          <w:rFonts w:hint="eastAsia" w:ascii="宋体" w:hAnsi="宋体" w:cs="宋体"/>
          <w:color w:val="000000"/>
          <w:sz w:val="24"/>
          <w:szCs w:val="24"/>
          <w:highlight w:val="none"/>
          <w:lang w:val="en-US" w:eastAsia="zh-CN"/>
        </w:rPr>
        <w:t>供应服务</w:t>
      </w:r>
      <w:r>
        <w:rPr>
          <w:rFonts w:hint="eastAsia" w:ascii="宋体" w:hAnsi="宋体" w:cs="宋体"/>
          <w:color w:val="000000"/>
          <w:sz w:val="24"/>
          <w:szCs w:val="24"/>
          <w:highlight w:val="none"/>
        </w:rPr>
        <w:t>内容:</w:t>
      </w:r>
    </w:p>
    <w:tbl>
      <w:tblPr>
        <w:tblStyle w:val="10"/>
        <w:tblW w:w="5037" w:type="pct"/>
        <w:tblInd w:w="0" w:type="dxa"/>
        <w:tblLayout w:type="fixed"/>
        <w:tblCellMar>
          <w:top w:w="0" w:type="dxa"/>
          <w:left w:w="108" w:type="dxa"/>
          <w:bottom w:w="0" w:type="dxa"/>
          <w:right w:w="108" w:type="dxa"/>
        </w:tblCellMar>
      </w:tblPr>
      <w:tblGrid>
        <w:gridCol w:w="969"/>
        <w:gridCol w:w="2084"/>
        <w:gridCol w:w="6983"/>
      </w:tblGrid>
      <w:tr>
        <w:tblPrEx>
          <w:tblCellMar>
            <w:top w:w="0" w:type="dxa"/>
            <w:left w:w="108" w:type="dxa"/>
            <w:bottom w:w="0" w:type="dxa"/>
            <w:right w:w="108" w:type="dxa"/>
          </w:tblCellMar>
        </w:tblPrEx>
        <w:trPr>
          <w:trHeight w:val="90" w:hRule="atLeast"/>
        </w:trPr>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rPr>
              <w:t>序号</w:t>
            </w:r>
          </w:p>
        </w:tc>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highlight w:val="none"/>
              </w:rPr>
            </w:pPr>
            <w:r>
              <w:rPr>
                <w:rStyle w:val="18"/>
                <w:rFonts w:hint="eastAsia" w:asciiTheme="minorEastAsia" w:hAnsiTheme="minorEastAsia" w:eastAsiaTheme="minorEastAsia" w:cstheme="minorEastAsia"/>
                <w:sz w:val="21"/>
                <w:szCs w:val="21"/>
                <w:highlight w:val="none"/>
                <w:lang w:val="en-US" w:eastAsia="zh-CN"/>
              </w:rPr>
              <w:t>标的</w:t>
            </w:r>
            <w:r>
              <w:rPr>
                <w:rStyle w:val="18"/>
                <w:rFonts w:hint="eastAsia" w:asciiTheme="minorEastAsia" w:hAnsiTheme="minorEastAsia" w:eastAsiaTheme="minorEastAsia" w:cstheme="minorEastAsia"/>
                <w:sz w:val="21"/>
                <w:szCs w:val="21"/>
                <w:highlight w:val="none"/>
              </w:rPr>
              <w:t>名称</w:t>
            </w:r>
          </w:p>
        </w:tc>
        <w:tc>
          <w:tcPr>
            <w:tcW w:w="34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宋体" w:hAnsi="宋体" w:cs="宋体"/>
                <w:bCs/>
                <w:sz w:val="24"/>
                <w:szCs w:val="24"/>
                <w:highlight w:val="none"/>
              </w:rPr>
              <w:t>★</w:t>
            </w:r>
            <w:r>
              <w:rPr>
                <w:rStyle w:val="17"/>
                <w:rFonts w:hint="eastAsia" w:asciiTheme="minorEastAsia" w:hAnsiTheme="minorEastAsia" w:eastAsiaTheme="minorEastAsia" w:cstheme="minorEastAsia"/>
                <w:sz w:val="21"/>
                <w:szCs w:val="21"/>
                <w:highlight w:val="none"/>
                <w:lang w:val="en-US" w:eastAsia="zh-CN"/>
              </w:rPr>
              <w:t>技术参数与性能指标</w:t>
            </w:r>
          </w:p>
        </w:tc>
      </w:tr>
      <w:tr>
        <w:tblPrEx>
          <w:tblCellMar>
            <w:top w:w="0" w:type="dxa"/>
            <w:left w:w="108" w:type="dxa"/>
            <w:bottom w:w="0" w:type="dxa"/>
            <w:right w:w="108" w:type="dxa"/>
          </w:tblCellMar>
        </w:tblPrEx>
        <w:trPr>
          <w:trHeight w:val="975" w:hRule="atLeast"/>
        </w:trPr>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1</w:t>
            </w:r>
          </w:p>
        </w:tc>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宋体" w:hAnsi="宋体" w:cs="宋体"/>
                <w:color w:val="171717"/>
                <w:sz w:val="22"/>
                <w:szCs w:val="22"/>
                <w:highlight w:val="none"/>
              </w:rPr>
              <w:t>畜禽</w:t>
            </w:r>
            <w:r>
              <w:rPr>
                <w:rFonts w:hint="eastAsia" w:ascii="宋体" w:hAnsi="宋体" w:cs="宋体"/>
                <w:color w:val="171717"/>
                <w:sz w:val="22"/>
                <w:szCs w:val="22"/>
                <w:highlight w:val="none"/>
                <w:lang w:val="en-US" w:eastAsia="zh-CN"/>
              </w:rPr>
              <w:t>及其制品</w:t>
            </w:r>
          </w:p>
        </w:tc>
        <w:tc>
          <w:tcPr>
            <w:tcW w:w="3479"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9"/>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家畜</w:t>
            </w:r>
            <w:r>
              <w:rPr>
                <w:rFonts w:hint="eastAsia" w:asciiTheme="minorEastAsia" w:hAnsiTheme="minorEastAsia" w:cstheme="minorEastAsia"/>
                <w:sz w:val="21"/>
                <w:szCs w:val="21"/>
                <w:highlight w:val="none"/>
                <w:lang w:val="en-US" w:eastAsia="zh-CN"/>
              </w:rPr>
              <w:t>及其制品</w:t>
            </w:r>
            <w:r>
              <w:rPr>
                <w:rFonts w:hint="eastAsia" w:asciiTheme="minorEastAsia" w:hAnsiTheme="minorEastAsia" w:eastAsiaTheme="minorEastAsia" w:cstheme="minorEastAsia"/>
                <w:sz w:val="21"/>
                <w:szCs w:val="21"/>
                <w:highlight w:val="none"/>
                <w:lang w:val="en-US" w:eastAsia="zh-CN"/>
              </w:rPr>
              <w:t>：</w:t>
            </w:r>
          </w:p>
          <w:p>
            <w:pPr>
              <w:pStyle w:val="19"/>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cstheme="minorEastAsia"/>
                <w:sz w:val="21"/>
                <w:szCs w:val="21"/>
                <w:highlight w:val="none"/>
                <w:lang w:val="en-US" w:eastAsia="zh-CN"/>
              </w:rPr>
              <w:t>质量标准：</w:t>
            </w:r>
            <w:r>
              <w:rPr>
                <w:rFonts w:hint="eastAsia" w:asciiTheme="minorEastAsia" w:hAnsiTheme="minorEastAsia" w:eastAsiaTheme="minorEastAsia" w:cstheme="minorEastAsia"/>
                <w:sz w:val="21"/>
                <w:szCs w:val="21"/>
                <w:highlight w:val="none"/>
              </w:rPr>
              <w:t>符合GB/T 40466-2021《畜禽肉分割技术规程猪肉》，GB 2707-2016《食品安全国家标准</w:t>
            </w:r>
            <w:r>
              <w:rPr>
                <w:rFonts w:hint="eastAsia" w:asciiTheme="minorEastAsia" w:hAnsi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鲜（冻）畜、禽产品》、《GB 2762-2022/XG1-2025</w:t>
            </w:r>
            <w:r>
              <w:rPr>
                <w:rFonts w:hint="eastAsia" w:asciiTheme="minorEastAsia" w:hAnsi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《食品安全国家标准 食品中污染物限量（含第1号修改单）》</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GB 31650-</w:t>
            </w:r>
            <w:r>
              <w:rPr>
                <w:rFonts w:hint="eastAsia" w:asciiTheme="minorEastAsia" w:hAnsiTheme="minorEastAsia" w:cstheme="minorEastAsia"/>
                <w:sz w:val="21"/>
                <w:szCs w:val="21"/>
                <w:highlight w:val="none"/>
                <w:lang w:val="en-US" w:eastAsia="zh-CN"/>
              </w:rPr>
              <w:t>2022</w:t>
            </w:r>
            <w:r>
              <w:rPr>
                <w:rFonts w:hint="eastAsia" w:asciiTheme="minorEastAsia" w:hAnsiTheme="minorEastAsia" w:eastAsiaTheme="minorEastAsia" w:cstheme="minorEastAsia"/>
                <w:sz w:val="21"/>
                <w:szCs w:val="21"/>
                <w:highlight w:val="none"/>
              </w:rPr>
              <w:t>《食品安全国家标准 食品中兽药最大残留限量》</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r>
              <w:rPr>
                <w:rFonts w:hint="eastAsia" w:asciiTheme="minorEastAsia" w:hAnsiTheme="minorEastAsia" w:eastAsiaTheme="minorEastAsia" w:cstheme="minorEastAsia"/>
                <w:sz w:val="21"/>
                <w:szCs w:val="21"/>
                <w:highlight w:val="none"/>
              </w:rPr>
              <w:t>所供肉类不得检出国务院食品安全委员会办公室《“瘦肉精”专项整治方案》规定的“瘦肉精”品种目录。如有最新标准时按最新标准执行。</w:t>
            </w:r>
          </w:p>
          <w:p>
            <w:pPr>
              <w:pStyle w:val="19"/>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r>
              <w:rPr>
                <w:rFonts w:hint="eastAsia" w:asciiTheme="minorEastAsia" w:hAnsiTheme="minorEastAsia" w:cstheme="minorEastAsia"/>
                <w:sz w:val="21"/>
                <w:szCs w:val="21"/>
                <w:highlight w:val="none"/>
                <w:lang w:val="en-US" w:eastAsia="zh-CN"/>
              </w:rPr>
              <w:t>质量要求：</w:t>
            </w:r>
            <w:r>
              <w:rPr>
                <w:rFonts w:hint="eastAsia" w:asciiTheme="minorEastAsia" w:hAnsiTheme="minorEastAsia" w:eastAsiaTheme="minorEastAsia" w:cstheme="minorEastAsia"/>
                <w:sz w:val="21"/>
                <w:szCs w:val="21"/>
                <w:highlight w:val="none"/>
              </w:rPr>
              <w:t>鲜肉</w:t>
            </w:r>
            <w:r>
              <w:rPr>
                <w:rFonts w:hint="eastAsia" w:asciiTheme="minorEastAsia" w:hAnsiTheme="minorEastAsia" w:cstheme="minorEastAsia"/>
                <w:sz w:val="21"/>
                <w:szCs w:val="21"/>
                <w:highlight w:val="none"/>
                <w:lang w:val="en-US" w:eastAsia="zh-CN"/>
              </w:rPr>
              <w:t>应</w:t>
            </w:r>
            <w:r>
              <w:rPr>
                <w:rFonts w:hint="eastAsia" w:asciiTheme="minorEastAsia" w:hAnsiTheme="minorEastAsia" w:eastAsiaTheme="minorEastAsia" w:cstheme="minorEastAsia"/>
                <w:sz w:val="21"/>
                <w:szCs w:val="21"/>
                <w:highlight w:val="none"/>
              </w:rPr>
              <w:t>新鲜无异味、色泽正常、无寄生虫等，应无槽头肉和血刀肉；甲状腺、肾上腺、病变淋巴摘除干净；无残留毛绒，不准带长短毛；不带浮毛、凝血块、胆污、粪污及其他污染物；肌肉应有光泽，不粘手，有弹性，指压后凹陷立即恢复原状，并具有鲜肉的正常气味。按采购人要求提供肉类产品，须为24小时内屠宰按冷鲜（0℃～4℃范围内）标准储藏及运输的鲜品，肉质紧实，水分少。产地非疫区。</w:t>
            </w:r>
          </w:p>
          <w:p>
            <w:pPr>
              <w:pStyle w:val="19"/>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cstheme="minorEastAsia"/>
                <w:sz w:val="21"/>
                <w:szCs w:val="21"/>
                <w:highlight w:val="none"/>
                <w:lang w:val="en-US" w:eastAsia="zh-CN"/>
              </w:rPr>
              <w:t>储存运输：运输应</w:t>
            </w:r>
            <w:r>
              <w:rPr>
                <w:rFonts w:hint="eastAsia" w:asciiTheme="minorEastAsia" w:hAnsiTheme="minorEastAsia" w:eastAsiaTheme="minorEastAsia" w:cstheme="minorEastAsia"/>
                <w:sz w:val="21"/>
                <w:szCs w:val="21"/>
                <w:highlight w:val="none"/>
              </w:rPr>
              <w:t>符合GB/T 28640-2012《畜禽肉冷链运输管理技术规范》要求。包装物应清洁卫生</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分筐透气、无挤压。配有标准冷藏库及低温车间，面积（或容量）应能满足本项目实施需要。</w:t>
            </w:r>
            <w:r>
              <w:rPr>
                <w:rFonts w:hint="eastAsia" w:asciiTheme="minorEastAsia" w:hAnsiTheme="minorEastAsia" w:cstheme="minorEastAsia"/>
                <w:sz w:val="21"/>
                <w:szCs w:val="21"/>
                <w:highlight w:val="none"/>
                <w:lang w:val="en-US" w:eastAsia="zh-CN"/>
              </w:rPr>
              <w:t>配送</w:t>
            </w:r>
            <w:r>
              <w:rPr>
                <w:rFonts w:hint="eastAsia" w:asciiTheme="minorEastAsia" w:hAnsiTheme="minorEastAsia" w:eastAsiaTheme="minorEastAsia" w:cstheme="minorEastAsia"/>
                <w:sz w:val="21"/>
                <w:szCs w:val="21"/>
                <w:highlight w:val="none"/>
              </w:rPr>
              <w:t>应符合卫生要求，做到每日清洗、消毒并做好消毒记录。投标人必须无任何理由地保存在配送车辆出库（出发）到采购人接收产品为止的冷链（0℃～4℃范围内）记录，采购人将不定期进行抽查。猪肉类交货时应提供由检疫部门当批次出具的动物产品合格证明和</w:t>
            </w:r>
            <w:r>
              <w:rPr>
                <w:rFonts w:hint="eastAsia" w:asciiTheme="minorEastAsia" w:hAnsiTheme="minorEastAsia" w:cstheme="minorEastAsia"/>
                <w:sz w:val="21"/>
                <w:szCs w:val="21"/>
                <w:highlight w:val="none"/>
                <w:lang w:eastAsia="zh-CN"/>
              </w:rPr>
              <w:t>肉品品质检验合格证明、</w:t>
            </w:r>
            <w:r>
              <w:rPr>
                <w:rFonts w:hint="eastAsia" w:asciiTheme="minorEastAsia" w:hAnsiTheme="minorEastAsia" w:eastAsiaTheme="minorEastAsia" w:cstheme="minorEastAsia"/>
                <w:sz w:val="21"/>
                <w:szCs w:val="21"/>
                <w:highlight w:val="none"/>
              </w:rPr>
              <w:t>动物产品检疫合格验讫印章以及生猪定点屠宰厂生猪定点屠宰证和肉品品质检验合格验讫印章。临时紧急配送的肉</w:t>
            </w:r>
            <w:r>
              <w:rPr>
                <w:rFonts w:hint="eastAsia" w:asciiTheme="minorEastAsia" w:hAnsiTheme="minorEastAsia" w:cstheme="minorEastAsia"/>
                <w:sz w:val="21"/>
                <w:szCs w:val="21"/>
                <w:highlight w:val="none"/>
                <w:lang w:val="en-US" w:eastAsia="zh-CN"/>
              </w:rPr>
              <w:t>品</w:t>
            </w:r>
            <w:r>
              <w:rPr>
                <w:rFonts w:hint="eastAsia" w:asciiTheme="minorEastAsia" w:hAnsiTheme="minorEastAsia" w:eastAsiaTheme="minorEastAsia" w:cstheme="minorEastAsia"/>
                <w:sz w:val="21"/>
                <w:szCs w:val="21"/>
                <w:highlight w:val="none"/>
              </w:rPr>
              <w:t>须符合采购人下单要求，保证肉品质量符合采购要求。</w:t>
            </w:r>
          </w:p>
          <w:p>
            <w:pPr>
              <w:pStyle w:val="19"/>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家禽</w:t>
            </w:r>
            <w:r>
              <w:rPr>
                <w:rFonts w:hint="eastAsia" w:asciiTheme="minorEastAsia" w:hAnsiTheme="minorEastAsia" w:cstheme="minorEastAsia"/>
                <w:sz w:val="21"/>
                <w:szCs w:val="21"/>
                <w:highlight w:val="none"/>
                <w:lang w:val="en-US" w:eastAsia="zh-CN"/>
              </w:rPr>
              <w:t>及其制品</w:t>
            </w:r>
            <w:r>
              <w:rPr>
                <w:rFonts w:hint="eastAsia" w:asciiTheme="minorEastAsia" w:hAnsiTheme="minorEastAsia" w:eastAsiaTheme="minorEastAsia" w:cstheme="minorEastAsia"/>
                <w:sz w:val="21"/>
                <w:szCs w:val="21"/>
                <w:highlight w:val="none"/>
                <w:lang w:val="en-US" w:eastAsia="zh-CN"/>
              </w:rPr>
              <w:t>：</w:t>
            </w:r>
          </w:p>
          <w:p>
            <w:pPr>
              <w:pStyle w:val="19"/>
              <w:numPr>
                <w:ilvl w:val="0"/>
                <w:numId w:val="1"/>
              </w:numPr>
              <w:jc w:val="left"/>
              <w:rPr>
                <w:rFonts w:hint="eastAsia" w:ascii="宋体" w:hAnsi="宋体" w:cs="宋体"/>
                <w:color w:val="auto"/>
                <w:sz w:val="21"/>
                <w:szCs w:val="21"/>
                <w:highlight w:val="none"/>
                <w:lang w:val="en-US" w:eastAsia="zh-CN"/>
              </w:rPr>
            </w:pPr>
            <w:r>
              <w:rPr>
                <w:rFonts w:hint="eastAsia" w:asciiTheme="minorEastAsia" w:hAnsiTheme="minorEastAsia" w:cstheme="minorEastAsia"/>
                <w:sz w:val="21"/>
                <w:szCs w:val="21"/>
                <w:highlight w:val="none"/>
                <w:lang w:val="en-US" w:eastAsia="zh-CN"/>
              </w:rPr>
              <w:t>质量标准：</w:t>
            </w:r>
            <w:r>
              <w:rPr>
                <w:rFonts w:hint="eastAsia" w:asciiTheme="minorEastAsia" w:hAnsiTheme="minorEastAsia" w:eastAsiaTheme="minorEastAsia" w:cstheme="minorEastAsia"/>
                <w:sz w:val="21"/>
                <w:szCs w:val="21"/>
                <w:highlight w:val="none"/>
              </w:rPr>
              <w:t>符合GB 2707-2016《食品安全国家标准鲜（冻）畜、禽产品》、GB 31650-</w:t>
            </w:r>
            <w:r>
              <w:rPr>
                <w:rFonts w:hint="eastAsia" w:asciiTheme="minorEastAsia" w:hAnsiTheme="minorEastAsia" w:eastAsiaTheme="minorEastAsia" w:cstheme="minorEastAsia"/>
                <w:sz w:val="21"/>
                <w:szCs w:val="21"/>
                <w:highlight w:val="none"/>
                <w:lang w:val="en-US" w:eastAsia="zh-CN"/>
              </w:rPr>
              <w:t>2022</w:t>
            </w:r>
            <w:r>
              <w:rPr>
                <w:rFonts w:hint="eastAsia" w:asciiTheme="minorEastAsia" w:hAnsiTheme="minorEastAsia" w:eastAsiaTheme="minorEastAsia" w:cstheme="minorEastAsia"/>
                <w:sz w:val="21"/>
                <w:szCs w:val="21"/>
                <w:highlight w:val="none"/>
              </w:rPr>
              <w:t>《食品安全国家标准</w:t>
            </w:r>
            <w:r>
              <w:rPr>
                <w:rFonts w:hint="eastAsia" w:asciiTheme="minorEastAsia" w:hAnsi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食品中兽药最大残留限量》</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GB 2762-2022/XG1-2025</w:t>
            </w:r>
            <w:r>
              <w:rPr>
                <w:rFonts w:hint="eastAsia" w:asciiTheme="minorEastAsia" w:hAnsi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《食品安全国家标准 食品中污染物限量（含第1号修改单）》</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p>
          <w:p>
            <w:pPr>
              <w:pStyle w:val="19"/>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r>
              <w:rPr>
                <w:rFonts w:hint="eastAsia" w:asciiTheme="minorEastAsia" w:hAnsiTheme="minorEastAsia" w:cstheme="minorEastAsia"/>
                <w:sz w:val="21"/>
                <w:szCs w:val="21"/>
                <w:highlight w:val="none"/>
                <w:lang w:val="en-US" w:eastAsia="zh-CN"/>
              </w:rPr>
              <w:t>质量要求：</w:t>
            </w:r>
            <w:r>
              <w:rPr>
                <w:rFonts w:hint="eastAsia" w:asciiTheme="minorEastAsia" w:hAnsiTheme="minorEastAsia" w:eastAsiaTheme="minorEastAsia" w:cstheme="minorEastAsia"/>
                <w:sz w:val="21"/>
                <w:szCs w:val="21"/>
                <w:highlight w:val="none"/>
              </w:rPr>
              <w:t>家禽鲜活无异味、色泽正常，无病，无内脏，无异物、无寄生虫等，无残留毛绒，不准带长短毛；不带浮毛、凝血块、胆污、粪污及其他污染物；肌肉应有光泽，不粘手，有弹性，指压后凹陷立即恢复原状，符合规格要求，达到使用标准。生鲜禽肉类必须保证新鲜，应符合食品安全溯源管理要求。检疫证明齐全</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品种齐全，能供应不同月龄的禽类，分部位供应，部位分类精细，日期为最新生产或现屠宰、分割加工处理。按采购人要求提供肉类产品，须为24小时内屠宰的活禽，非疫区生产。</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sz w:val="21"/>
                <w:szCs w:val="21"/>
                <w:highlight w:val="none"/>
                <w:lang w:val="en-US" w:eastAsia="zh-CN"/>
              </w:rPr>
              <w:t>储存运输：运输应</w:t>
            </w:r>
            <w:r>
              <w:rPr>
                <w:rFonts w:hint="eastAsia" w:asciiTheme="minorEastAsia" w:hAnsiTheme="minorEastAsia" w:eastAsiaTheme="minorEastAsia" w:cstheme="minorEastAsia"/>
                <w:sz w:val="21"/>
                <w:szCs w:val="21"/>
                <w:highlight w:val="none"/>
              </w:rPr>
              <w:t>符合GB/T 28640-2012《畜禽肉冷链运输管理技术规范》要求。包装物应清洁卫生</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分筐透气、无挤压。配有标准冷藏库及低温车间，面积（或容量）应能满足本项目实施需要。</w:t>
            </w:r>
            <w:r>
              <w:rPr>
                <w:rFonts w:hint="eastAsia" w:asciiTheme="minorEastAsia" w:hAnsiTheme="minorEastAsia" w:cstheme="minorEastAsia"/>
                <w:sz w:val="21"/>
                <w:szCs w:val="21"/>
                <w:highlight w:val="none"/>
                <w:lang w:val="en-US" w:eastAsia="zh-CN"/>
              </w:rPr>
              <w:t>配送</w:t>
            </w:r>
            <w:r>
              <w:rPr>
                <w:rFonts w:hint="eastAsia" w:asciiTheme="minorEastAsia" w:hAnsiTheme="minorEastAsia" w:eastAsiaTheme="minorEastAsia" w:cstheme="minorEastAsia"/>
                <w:sz w:val="21"/>
                <w:szCs w:val="21"/>
                <w:highlight w:val="none"/>
              </w:rPr>
              <w:t>应符合卫生要求，做到每日清洗、消毒并做好消毒记录。投标人必须无任何理由地保存在配送车辆出库（出发）到采购人接收产品为止的冷链（0℃～4℃范围内）记录，采购人将不定期进行抽查。生鲜禽肉类供应时应提供当批次的动物检疫合格证明。临时紧急配送的肉</w:t>
            </w:r>
            <w:r>
              <w:rPr>
                <w:rFonts w:hint="eastAsia" w:asciiTheme="minorEastAsia" w:hAnsiTheme="minorEastAsia" w:cstheme="minorEastAsia"/>
                <w:sz w:val="21"/>
                <w:szCs w:val="21"/>
                <w:highlight w:val="none"/>
                <w:lang w:val="en-US" w:eastAsia="zh-CN"/>
              </w:rPr>
              <w:t>品</w:t>
            </w:r>
            <w:r>
              <w:rPr>
                <w:rFonts w:hint="eastAsia" w:asciiTheme="minorEastAsia" w:hAnsiTheme="minorEastAsia" w:eastAsiaTheme="minorEastAsia" w:cstheme="minorEastAsia"/>
                <w:sz w:val="21"/>
                <w:szCs w:val="21"/>
                <w:highlight w:val="none"/>
              </w:rPr>
              <w:t>须符合采购人下单要求，保证肉品质量符合采购要求。</w:t>
            </w:r>
          </w:p>
        </w:tc>
      </w:tr>
      <w:tr>
        <w:tblPrEx>
          <w:tblCellMar>
            <w:top w:w="0" w:type="dxa"/>
            <w:left w:w="108" w:type="dxa"/>
            <w:bottom w:w="0" w:type="dxa"/>
            <w:right w:w="108" w:type="dxa"/>
          </w:tblCellMar>
        </w:tblPrEx>
        <w:trPr>
          <w:trHeight w:val="544" w:hRule="atLeast"/>
        </w:trPr>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2</w:t>
            </w:r>
          </w:p>
        </w:tc>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水产动物及其制品</w:t>
            </w:r>
          </w:p>
        </w:tc>
        <w:tc>
          <w:tcPr>
            <w:tcW w:w="3479"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9"/>
              <w:numPr>
                <w:ilvl w:val="0"/>
                <w:numId w:val="2"/>
              </w:numPr>
              <w:jc w:val="left"/>
              <w:rPr>
                <w:rFonts w:hint="eastAsia" w:ascii="宋体" w:hAnsi="宋体" w:cs="宋体"/>
                <w:color w:val="auto"/>
                <w:sz w:val="21"/>
                <w:szCs w:val="21"/>
                <w:highlight w:val="none"/>
                <w:lang w:val="en-US" w:eastAsia="zh-CN"/>
              </w:rPr>
            </w:pPr>
            <w:r>
              <w:rPr>
                <w:rFonts w:hint="eastAsia" w:asciiTheme="minorEastAsia" w:hAnsiTheme="minorEastAsia" w:cstheme="minorEastAsia"/>
                <w:sz w:val="21"/>
                <w:szCs w:val="21"/>
                <w:highlight w:val="none"/>
                <w:lang w:val="en-US" w:eastAsia="zh-CN"/>
              </w:rPr>
              <w:t>质量标准：</w:t>
            </w:r>
            <w:r>
              <w:rPr>
                <w:rFonts w:hint="eastAsia" w:asciiTheme="minorEastAsia" w:hAnsiTheme="minorEastAsia" w:eastAsiaTheme="minorEastAsia" w:cstheme="minorEastAsia"/>
                <w:sz w:val="21"/>
                <w:szCs w:val="21"/>
                <w:highlight w:val="none"/>
              </w:rPr>
              <w:t xml:space="preserve">符合GB 2733-2015《食品安全国家标准 </w:t>
            </w:r>
            <w:r>
              <w:rPr>
                <w:rFonts w:hint="eastAsia" w:asciiTheme="minorEastAsia" w:hAnsi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鲜、冻动物性水产品》</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GB 2762-2022/XG1-2025</w:t>
            </w:r>
            <w:r>
              <w:rPr>
                <w:rFonts w:hint="eastAsia" w:asciiTheme="minorEastAsia" w:hAnsi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食品安全国家标准 食品中污染物限量（含第1号修改单）》、GB 31650-</w:t>
            </w:r>
            <w:r>
              <w:rPr>
                <w:rFonts w:hint="eastAsia" w:asciiTheme="minorEastAsia" w:hAnsiTheme="minorEastAsia" w:cstheme="minorEastAsia"/>
                <w:sz w:val="21"/>
                <w:szCs w:val="21"/>
                <w:highlight w:val="none"/>
                <w:lang w:val="en-US" w:eastAsia="zh-CN"/>
              </w:rPr>
              <w:t>2022</w:t>
            </w:r>
            <w:r>
              <w:rPr>
                <w:rFonts w:hint="eastAsia" w:asciiTheme="minorEastAsia" w:hAnsiTheme="minorEastAsia" w:eastAsiaTheme="minorEastAsia" w:cstheme="minorEastAsia"/>
                <w:sz w:val="21"/>
                <w:szCs w:val="21"/>
                <w:highlight w:val="none"/>
              </w:rPr>
              <w:t>《食品安全国家标准 食品中兽药最大残留限量》</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p>
          <w:p>
            <w:pPr>
              <w:pStyle w:val="19"/>
              <w:numPr>
                <w:ilvl w:val="0"/>
                <w:numId w:val="0"/>
              </w:numPr>
              <w:jc w:val="left"/>
              <w:rPr>
                <w:rFonts w:hint="eastAsia" w:asciiTheme="minorEastAsia" w:hAnsi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2）</w:t>
            </w:r>
            <w:r>
              <w:rPr>
                <w:rFonts w:hint="eastAsia" w:asciiTheme="minorEastAsia" w:hAnsiTheme="minorEastAsia" w:cstheme="minorEastAsia"/>
                <w:sz w:val="21"/>
                <w:szCs w:val="21"/>
                <w:highlight w:val="none"/>
                <w:lang w:val="en-US" w:eastAsia="zh-CN"/>
              </w:rPr>
              <w:t>质量要求：</w:t>
            </w:r>
          </w:p>
          <w:p>
            <w:pPr>
              <w:pStyle w:val="19"/>
              <w:numPr>
                <w:ilvl w:val="0"/>
                <w:numId w:val="0"/>
              </w:numPr>
              <w:jc w:val="left"/>
              <w:rPr>
                <w:rFonts w:hint="eastAsia" w:asciiTheme="minorEastAsia" w:hAnsiTheme="minorEastAsia" w:cstheme="minorEastAsia"/>
                <w:sz w:val="21"/>
                <w:szCs w:val="21"/>
                <w:highlight w:val="none"/>
                <w:lang w:val="en-US" w:eastAsia="zh-CN"/>
              </w:rPr>
            </w:pPr>
            <w:r>
              <w:rPr>
                <w:rFonts w:hint="eastAsia" w:ascii="宋体" w:hAnsi="宋体" w:eastAsia="宋体" w:cs="宋体"/>
                <w:sz w:val="22"/>
                <w:szCs w:val="22"/>
                <w:highlight w:val="none"/>
                <w:lang w:val="en-US" w:eastAsia="zh-CN"/>
              </w:rPr>
              <w:t>①</w:t>
            </w:r>
            <w:r>
              <w:rPr>
                <w:rFonts w:hint="eastAsia" w:asciiTheme="minorEastAsia" w:hAnsiTheme="minorEastAsia" w:cstheme="minorEastAsia"/>
                <w:sz w:val="21"/>
                <w:szCs w:val="21"/>
                <w:highlight w:val="none"/>
                <w:lang w:val="en-US" w:eastAsia="zh-CN"/>
              </w:rPr>
              <w:t>鲜活水产动物：</w:t>
            </w:r>
            <w:r>
              <w:rPr>
                <w:rFonts w:hint="eastAsia" w:asciiTheme="minorEastAsia" w:hAnsiTheme="minorEastAsia" w:eastAsiaTheme="minorEastAsia" w:cstheme="minorEastAsia"/>
                <w:sz w:val="21"/>
                <w:szCs w:val="21"/>
                <w:highlight w:val="none"/>
              </w:rPr>
              <w:t>24小时内屠宰的鲜活水产品</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非疫区生产</w:t>
            </w:r>
            <w:r>
              <w:rPr>
                <w:rFonts w:hint="eastAsia" w:asciiTheme="minorEastAsia" w:hAnsiTheme="minorEastAsia" w:cstheme="minorEastAsia"/>
                <w:sz w:val="21"/>
                <w:szCs w:val="21"/>
                <w:highlight w:val="none"/>
                <w:lang w:eastAsia="zh-CN"/>
              </w:rPr>
              <w:t>。</w:t>
            </w:r>
            <w:r>
              <w:rPr>
                <w:rFonts w:hint="eastAsia" w:asciiTheme="minorEastAsia" w:hAnsiTheme="minorEastAsia" w:cstheme="minorEastAsia"/>
                <w:sz w:val="21"/>
                <w:szCs w:val="21"/>
                <w:highlight w:val="none"/>
                <w:lang w:val="en-US" w:eastAsia="zh-CN"/>
              </w:rPr>
              <w:t xml:space="preserve">体态正常，游动灵活，无畸形、无伤残；体表光滑，鳞片（或鳞甲、皮肤）完整无脱落，黏液透明无异味；眼睛清澈饱满，角膜透明，无浑浊、突出或凹陷；鳃丝鲜红或暗红，排列整齐，无黏液粘连、无异味；腹部平坦，无胀气、无破裂，肛门紧缩。 </w:t>
            </w:r>
          </w:p>
          <w:p>
            <w:pPr>
              <w:pStyle w:val="19"/>
              <w:numPr>
                <w:ilvl w:val="0"/>
                <w:numId w:val="0"/>
              </w:numPr>
              <w:jc w:val="left"/>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 xml:space="preserve">②冰鲜水产动物：体表有光泽，鳞片完整不易脱落，黏液少且透明；肌肉有弹性，按压后凹陷迅速恢复；鳃丝呈鲜红色或淡红色，无异味；眼睛半睁或闭合，角膜透明；无淤血、无变质现象。 </w:t>
            </w:r>
          </w:p>
          <w:p>
            <w:pPr>
              <w:pStyle w:val="19"/>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③冻品水产及其制品：冻块坚实完整，无融化变形、无冰霜结晶过多现象；解冻后肌肉紧密有弹性，无大量血水渗出；体表无霉点、无异味，具有水产动物固有的鲜味。 熟制水产制品需外观完整，色泽均匀，无焦糊、无霉斑；肉质紧密有弹性，无黏手现象；具有产品固有的风味，无酸败味、腐败味等异味。</w:t>
            </w:r>
            <w:r>
              <w:rPr>
                <w:rFonts w:hint="eastAsia" w:asciiTheme="minorEastAsia" w:hAnsiTheme="minorEastAsia" w:eastAsiaTheme="minorEastAsia" w:cstheme="minorEastAsia"/>
                <w:sz w:val="21"/>
                <w:szCs w:val="21"/>
                <w:highlight w:val="none"/>
              </w:rPr>
              <w:t>检疫证明齐全。</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sz w:val="21"/>
                <w:szCs w:val="21"/>
                <w:highlight w:val="none"/>
                <w:lang w:val="en-US" w:eastAsia="zh-CN"/>
              </w:rPr>
              <w:t>储存运输：应</w:t>
            </w:r>
            <w:r>
              <w:rPr>
                <w:rFonts w:hint="eastAsia" w:asciiTheme="minorEastAsia" w:hAnsiTheme="minorEastAsia" w:eastAsiaTheme="minorEastAsia" w:cstheme="minorEastAsia"/>
                <w:sz w:val="21"/>
                <w:szCs w:val="21"/>
                <w:highlight w:val="none"/>
              </w:rPr>
              <w:t xml:space="preserve">符合GB/T </w:t>
            </w:r>
            <w:r>
              <w:rPr>
                <w:rFonts w:hint="eastAsia" w:asciiTheme="minorEastAsia" w:hAnsiTheme="minorEastAsia" w:eastAsiaTheme="minorEastAsia" w:cstheme="minorEastAsia"/>
                <w:sz w:val="21"/>
                <w:szCs w:val="21"/>
                <w:highlight w:val="none"/>
                <w:lang w:val="en-US" w:eastAsia="zh-CN"/>
              </w:rPr>
              <w:t>36192</w:t>
            </w:r>
            <w:r>
              <w:rPr>
                <w:rFonts w:hint="eastAsia" w:asciiTheme="minorEastAsia" w:hAnsiTheme="minorEastAsia" w:eastAsiaTheme="minorEastAsia" w:cstheme="minorEastAsia"/>
                <w:sz w:val="21"/>
                <w:szCs w:val="21"/>
                <w:highlight w:val="none"/>
              </w:rPr>
              <w:t>-20</w:t>
            </w:r>
            <w:r>
              <w:rPr>
                <w:rFonts w:hint="eastAsia" w:asciiTheme="minorEastAsia" w:hAnsiTheme="minorEastAsia" w:eastAsiaTheme="minorEastAsia" w:cstheme="minorEastAsia"/>
                <w:sz w:val="21"/>
                <w:szCs w:val="21"/>
                <w:highlight w:val="none"/>
                <w:lang w:val="en-US" w:eastAsia="zh-CN"/>
              </w:rPr>
              <w:t>24</w:t>
            </w:r>
            <w:r>
              <w:rPr>
                <w:rFonts w:hint="eastAsia" w:asciiTheme="minorEastAsia" w:hAnsiTheme="minorEastAsia" w:eastAsiaTheme="minorEastAsia" w:cstheme="minorEastAsia"/>
                <w:sz w:val="21"/>
                <w:szCs w:val="21"/>
                <w:highlight w:val="none"/>
              </w:rPr>
              <w:t>《活水产品运输技术规范》要求。包装物应清洁卫生</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分筐透气、无挤压。配有标准冷藏库及低温车间，面积（或容量）应能满足本项目实施需要。</w:t>
            </w:r>
            <w:r>
              <w:rPr>
                <w:rFonts w:hint="eastAsia" w:asciiTheme="minorEastAsia" w:hAnsiTheme="minorEastAsia" w:cstheme="minorEastAsia"/>
                <w:sz w:val="21"/>
                <w:szCs w:val="21"/>
                <w:highlight w:val="none"/>
                <w:lang w:val="en-US" w:eastAsia="zh-CN"/>
              </w:rPr>
              <w:t>配送</w:t>
            </w:r>
            <w:r>
              <w:rPr>
                <w:rFonts w:hint="eastAsia" w:asciiTheme="minorEastAsia" w:hAnsiTheme="minorEastAsia" w:eastAsiaTheme="minorEastAsia" w:cstheme="minorEastAsia"/>
                <w:sz w:val="21"/>
                <w:szCs w:val="21"/>
                <w:highlight w:val="none"/>
              </w:rPr>
              <w:t>应符合卫生要求，做到每日清洗、消毒并做好消毒记录。投标人必须无任何理由地保存在配送车辆出库（出发）到采购人接收产品为止的冷链（0℃～4℃范围内）记录，采购人将不定期进行抽查。配送时间、种类、大小按采购人要求配送。</w:t>
            </w:r>
          </w:p>
        </w:tc>
      </w:tr>
      <w:tr>
        <w:tblPrEx>
          <w:tblCellMar>
            <w:top w:w="0" w:type="dxa"/>
            <w:left w:w="108" w:type="dxa"/>
            <w:bottom w:w="0" w:type="dxa"/>
            <w:right w:w="108" w:type="dxa"/>
          </w:tblCellMar>
        </w:tblPrEx>
        <w:trPr>
          <w:trHeight w:val="975" w:hRule="atLeast"/>
        </w:trPr>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3</w:t>
            </w:r>
          </w:p>
        </w:tc>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禽蛋</w:t>
            </w:r>
            <w:r>
              <w:rPr>
                <w:rFonts w:hint="eastAsia" w:ascii="宋体" w:hAnsi="宋体" w:cs="宋体"/>
                <w:color w:val="171717"/>
                <w:sz w:val="22"/>
                <w:szCs w:val="22"/>
                <w:highlight w:val="none"/>
                <w:lang w:val="en-US" w:eastAsia="zh-CN"/>
              </w:rPr>
              <w:t>及其制品</w:t>
            </w:r>
          </w:p>
        </w:tc>
        <w:tc>
          <w:tcPr>
            <w:tcW w:w="3479"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9"/>
              <w:numPr>
                <w:ilvl w:val="0"/>
                <w:numId w:val="3"/>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质量标准：</w:t>
            </w:r>
            <w:r>
              <w:rPr>
                <w:rFonts w:hint="eastAsia" w:asciiTheme="minorEastAsia" w:hAnsiTheme="minorEastAsia" w:eastAsiaTheme="minorEastAsia" w:cstheme="minorEastAsia"/>
                <w:sz w:val="21"/>
                <w:szCs w:val="21"/>
                <w:highlight w:val="none"/>
              </w:rPr>
              <w:t>符合GB 2749-2015《食品安全国家标准 蛋与蛋制品》、GB 31650-20</w:t>
            </w:r>
            <w:r>
              <w:rPr>
                <w:rFonts w:hint="eastAsia" w:asciiTheme="minorEastAsia" w:hAnsiTheme="minorEastAsia" w:cstheme="minorEastAsia"/>
                <w:sz w:val="21"/>
                <w:szCs w:val="21"/>
                <w:highlight w:val="none"/>
                <w:lang w:val="en-US" w:eastAsia="zh-CN"/>
              </w:rPr>
              <w:t>22</w:t>
            </w:r>
            <w:r>
              <w:rPr>
                <w:rFonts w:hint="eastAsia" w:asciiTheme="minorEastAsia" w:hAnsiTheme="minorEastAsia" w:eastAsiaTheme="minorEastAsia" w:cstheme="minorEastAsia"/>
                <w:sz w:val="21"/>
                <w:szCs w:val="21"/>
                <w:highlight w:val="none"/>
              </w:rPr>
              <w:t>《食品安全国家标准 食品中兽药最大残留限量》</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p>
          <w:p>
            <w:pPr>
              <w:pStyle w:val="19"/>
              <w:numPr>
                <w:ilvl w:val="0"/>
                <w:numId w:val="3"/>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质量要求：</w:t>
            </w:r>
          </w:p>
          <w:p>
            <w:pPr>
              <w:pStyle w:val="19"/>
              <w:numPr>
                <w:ilvl w:val="0"/>
                <w:numId w:val="0"/>
              </w:numPr>
              <w:jc w:val="left"/>
              <w:rPr>
                <w:rFonts w:hint="eastAsia" w:asciiTheme="minorEastAsia" w:hAnsiTheme="minorEastAsia" w:eastAsiaTheme="minorEastAsia" w:cstheme="minorEastAsia"/>
                <w:sz w:val="21"/>
                <w:szCs w:val="21"/>
                <w:highlight w:val="none"/>
              </w:rPr>
            </w:pPr>
            <w:r>
              <w:rPr>
                <w:rFonts w:hint="eastAsia" w:ascii="宋体" w:hAnsi="宋体" w:eastAsia="宋体" w:cs="宋体"/>
                <w:sz w:val="22"/>
                <w:szCs w:val="22"/>
                <w:highlight w:val="none"/>
                <w:lang w:val="en-US" w:eastAsia="zh-CN"/>
              </w:rPr>
              <w:t>①</w:t>
            </w:r>
            <w:r>
              <w:rPr>
                <w:rFonts w:hint="eastAsia" w:asciiTheme="minorEastAsia" w:hAnsiTheme="minorEastAsia" w:cstheme="minorEastAsia"/>
                <w:sz w:val="21"/>
                <w:szCs w:val="21"/>
                <w:highlight w:val="none"/>
                <w:lang w:val="en-US" w:eastAsia="zh-CN"/>
              </w:rPr>
              <w:t>鲜禽蛋应保证新鲜、蛋壳完整、清洁，无裂纹、无异味、无破损、无霉斑、无污物附着；蛋壳色泽均匀（符合品种固有色泽，如鸡蛋多为白色或褐色，鸭蛋多为青灰色或白色）；光照检查时，蛋黄轮廓清晰，位于中央，蛋清透明粘稠，无异味；打开后，蛋黄呈圆形或椭圆形，有弹性，不轻易破裂，蛋清分为浓稠蛋清和稀薄蛋清，界限清晰，无异味。</w:t>
            </w:r>
          </w:p>
          <w:p>
            <w:pPr>
              <w:pStyle w:val="19"/>
              <w:numPr>
                <w:ilvl w:val="0"/>
                <w:numId w:val="0"/>
              </w:numPr>
              <w:jc w:val="left"/>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②冻禽蛋制品（如冻蛋黄、冻蛋清）应保证冻块坚实完整，色泽均匀（冻蛋黄呈金黄色，冻蛋清呈乳白色），无融化变形、无冰霜结晶过多现象；解冻后，蛋黄粘稠有弹性，蛋清透明粘稠，无异味，无大量水分析出。</w:t>
            </w:r>
          </w:p>
          <w:p>
            <w:pPr>
              <w:pStyle w:val="19"/>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val="en-US" w:eastAsia="zh-CN"/>
              </w:rPr>
              <w:t>③熟制禽蛋制品（如卤蛋、皮蛋、咸蛋）应保证外观完整，无破损、无霉斑；卤蛋色泽均匀，具有卤制固有的风味，无酸败味；皮蛋蛋壳易剥离，蛋白呈半透明胶状，有弹性，蛋黄呈溏心或凝固状，无异味、无黑斑点过多现象；咸蛋蛋壳完整，蛋白凝固紧实，蛋黄出油良好，咸味适中，无异味。</w:t>
            </w:r>
            <w:r>
              <w:rPr>
                <w:rFonts w:hint="eastAsia" w:asciiTheme="minorEastAsia" w:hAnsiTheme="minorEastAsia" w:eastAsiaTheme="minorEastAsia" w:cstheme="minorEastAsia"/>
                <w:sz w:val="21"/>
                <w:szCs w:val="21"/>
                <w:highlight w:val="none"/>
              </w:rPr>
              <w:t>饲养食材安全可靠，蛋鸡饲养过程品质可控，蛋鸡接种药物可靠，符合国标要求。</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sz w:val="21"/>
                <w:szCs w:val="21"/>
                <w:highlight w:val="none"/>
                <w:lang w:val="en-US" w:eastAsia="zh-CN"/>
              </w:rPr>
              <w:t>储存运输：</w:t>
            </w:r>
            <w:r>
              <w:rPr>
                <w:rFonts w:hint="eastAsia" w:asciiTheme="minorEastAsia" w:hAnsiTheme="minorEastAsia" w:eastAsiaTheme="minorEastAsia" w:cstheme="minorEastAsia"/>
                <w:sz w:val="21"/>
                <w:szCs w:val="21"/>
                <w:highlight w:val="none"/>
              </w:rPr>
              <w:t>供货时提供检疫报告，按时送达；不使用纸箱，使用专用蛋隔配送。符合采购人下单的品种和要求的生产日期。</w:t>
            </w:r>
          </w:p>
        </w:tc>
      </w:tr>
    </w:tbl>
    <w:p>
      <w:pPr>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人员配置：供应方须就该项目配置固定的业务联络人和配送人员，配送人员须持有有效的健康证。</w:t>
      </w:r>
    </w:p>
    <w:p>
      <w:pPr>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设施设备配置：食品专用冷藏配送车辆3辆，封闭式食品配送车辆2辆。</w:t>
      </w:r>
    </w:p>
    <w:p>
      <w:pPr>
        <w:rPr>
          <w:rFonts w:ascii="宋体" w:hAnsi="宋体" w:cs="宋体"/>
          <w:color w:val="000000"/>
          <w:sz w:val="24"/>
          <w:szCs w:val="24"/>
          <w:highlight w:val="none"/>
        </w:rPr>
      </w:pPr>
      <w:r>
        <w:rPr>
          <w:rFonts w:hint="eastAsia" w:ascii="宋体" w:hAnsi="宋体" w:cs="宋体"/>
          <w:color w:val="000000"/>
          <w:sz w:val="24"/>
          <w:szCs w:val="24"/>
          <w:highlight w:val="none"/>
        </w:rPr>
        <w:t>4.其他要求（包括采购标的需执行的国家相关标准、行业标准、地方标准或者其他标准、规范等）：</w:t>
      </w:r>
    </w:p>
    <w:p>
      <w:pPr>
        <w:rPr>
          <w:rFonts w:ascii="宋体" w:hAnsi="宋体" w:cs="宋体"/>
          <w:color w:val="000000"/>
          <w:sz w:val="24"/>
          <w:szCs w:val="24"/>
          <w:highlight w:val="none"/>
        </w:rPr>
      </w:pPr>
      <w:r>
        <w:rPr>
          <w:rFonts w:hint="eastAsia" w:ascii="宋体" w:hAnsi="宋体" w:cs="宋体"/>
          <w:bCs/>
          <w:sz w:val="24"/>
          <w:szCs w:val="24"/>
          <w:highlight w:val="none"/>
        </w:rPr>
        <w:t>★</w:t>
      </w:r>
      <w:r>
        <w:rPr>
          <w:rFonts w:hint="eastAsia" w:ascii="宋体" w:hAnsi="宋体" w:cs="宋体"/>
          <w:color w:val="000000"/>
          <w:sz w:val="24"/>
          <w:szCs w:val="24"/>
          <w:highlight w:val="none"/>
        </w:rPr>
        <w:t>4.1.供货行为与供货内容应符合《中华人民共和国食品安全法》</w:t>
      </w:r>
      <w:r>
        <w:rPr>
          <w:rFonts w:hint="eastAsia" w:ascii="宋体" w:hAnsi="宋体" w:cs="宋体"/>
          <w:color w:val="000000"/>
          <w:sz w:val="24"/>
          <w:szCs w:val="24"/>
          <w:highlight w:val="none"/>
          <w:lang w:val="en-US" w:eastAsia="zh-CN"/>
        </w:rPr>
        <w:t>及实施条例</w:t>
      </w:r>
      <w:r>
        <w:rPr>
          <w:rFonts w:hint="eastAsia" w:ascii="宋体" w:hAnsi="宋体" w:cs="宋体"/>
          <w:color w:val="000000"/>
          <w:sz w:val="24"/>
          <w:szCs w:val="24"/>
          <w:highlight w:val="none"/>
        </w:rPr>
        <w:t>。</w:t>
      </w:r>
    </w:p>
    <w:p>
      <w:pPr>
        <w:rPr>
          <w:rFonts w:ascii="宋体" w:hAnsi="宋体" w:cs="宋体"/>
          <w:color w:val="000000"/>
          <w:sz w:val="24"/>
          <w:szCs w:val="24"/>
          <w:highlight w:val="none"/>
        </w:rPr>
      </w:pPr>
      <w:r>
        <w:rPr>
          <w:rFonts w:hint="eastAsia" w:ascii="宋体" w:hAnsi="宋体" w:cs="宋体"/>
          <w:bCs/>
          <w:sz w:val="24"/>
          <w:szCs w:val="24"/>
          <w:highlight w:val="none"/>
        </w:rPr>
        <w:t>★</w:t>
      </w:r>
      <w:r>
        <w:rPr>
          <w:rFonts w:hint="eastAsia" w:ascii="宋体" w:hAnsi="宋体" w:cs="宋体"/>
          <w:color w:val="000000"/>
          <w:sz w:val="24"/>
          <w:szCs w:val="24"/>
          <w:highlight w:val="none"/>
        </w:rPr>
        <w:t>4.2.所供食品应包含但不限于符合以下国家现行食品安全标准:</w:t>
      </w:r>
    </w:p>
    <w:p>
      <w:pPr>
        <w:rPr>
          <w:rFonts w:ascii="宋体" w:hAnsi="宋体" w:cs="宋体"/>
          <w:color w:val="000000"/>
          <w:sz w:val="24"/>
          <w:szCs w:val="24"/>
          <w:highlight w:val="none"/>
        </w:rPr>
      </w:pPr>
      <w:r>
        <w:rPr>
          <w:rFonts w:hint="eastAsia" w:ascii="宋体" w:hAnsi="宋体" w:cs="宋体"/>
          <w:color w:val="000000"/>
          <w:sz w:val="24"/>
          <w:szCs w:val="24"/>
          <w:highlight w:val="none"/>
        </w:rPr>
        <w:t>4.2.1.食品中真菌毒素限量应符合GB 2761-2017 《食品安全国家标准 食品中真菌毒素限量》相关规定。</w:t>
      </w:r>
    </w:p>
    <w:p>
      <w:pPr>
        <w:rPr>
          <w:rFonts w:hint="eastAsia" w:ascii="宋体" w:hAnsi="宋体" w:cs="宋体"/>
          <w:color w:val="000000"/>
          <w:sz w:val="24"/>
          <w:szCs w:val="24"/>
          <w:highlight w:val="none"/>
        </w:rPr>
      </w:pPr>
      <w:r>
        <w:rPr>
          <w:rFonts w:hint="eastAsia" w:ascii="宋体" w:hAnsi="宋体" w:cs="宋体"/>
          <w:color w:val="000000"/>
          <w:sz w:val="24"/>
          <w:szCs w:val="24"/>
          <w:highlight w:val="none"/>
        </w:rPr>
        <w:t>4.2.2.食品中污染物限量应符合GB 2762-2022/XG1-2025《 食品安全国家标准 食品中污染物限量（含第1号修改单）》相关规定。</w:t>
      </w:r>
    </w:p>
    <w:p>
      <w:pPr>
        <w:rPr>
          <w:rFonts w:ascii="宋体" w:hAnsi="宋体" w:cs="宋体"/>
          <w:color w:val="000000"/>
          <w:sz w:val="24"/>
          <w:szCs w:val="24"/>
          <w:highlight w:val="none"/>
        </w:rPr>
      </w:pPr>
      <w:r>
        <w:rPr>
          <w:rFonts w:hint="eastAsia" w:ascii="宋体" w:hAnsi="宋体" w:cs="宋体"/>
          <w:color w:val="000000"/>
          <w:sz w:val="24"/>
          <w:szCs w:val="24"/>
          <w:highlight w:val="none"/>
        </w:rPr>
        <w:t>4.2.3.农药最大残留限</w:t>
      </w:r>
      <w:r>
        <w:rPr>
          <w:rFonts w:hint="eastAsia" w:ascii="宋体" w:hAnsi="宋体" w:cs="宋体"/>
          <w:color w:val="000000"/>
          <w:sz w:val="24"/>
          <w:szCs w:val="24"/>
          <w:highlight w:val="none"/>
          <w:lang w:val="en-US" w:eastAsia="zh-CN"/>
        </w:rPr>
        <w:t>量</w:t>
      </w:r>
      <w:r>
        <w:rPr>
          <w:rFonts w:hint="eastAsia" w:ascii="宋体" w:hAnsi="宋体" w:cs="宋体"/>
          <w:color w:val="000000"/>
          <w:sz w:val="24"/>
          <w:szCs w:val="24"/>
          <w:highlight w:val="none"/>
        </w:rPr>
        <w:t>应符合GB 2763-</w:t>
      </w:r>
      <w:r>
        <w:rPr>
          <w:rFonts w:hint="eastAsia" w:ascii="宋体" w:hAnsi="宋体" w:cs="宋体"/>
          <w:color w:val="000000" w:themeColor="text1"/>
          <w:sz w:val="24"/>
          <w:szCs w:val="24"/>
          <w:highlight w:val="none"/>
          <w14:textFill>
            <w14:solidFill>
              <w14:schemeClr w14:val="tx1"/>
            </w14:solidFill>
          </w14:textFill>
        </w:rPr>
        <w:t>2021</w:t>
      </w:r>
      <w:r>
        <w:rPr>
          <w:rFonts w:hint="eastAsia" w:ascii="宋体" w:hAnsi="宋体" w:cs="宋体"/>
          <w:color w:val="FF0000"/>
          <w:sz w:val="24"/>
          <w:szCs w:val="24"/>
          <w:highlight w:val="none"/>
        </w:rPr>
        <w:t xml:space="preserve"> </w:t>
      </w:r>
      <w:r>
        <w:rPr>
          <w:rFonts w:hint="eastAsia" w:ascii="宋体" w:hAnsi="宋体" w:cs="宋体"/>
          <w:color w:val="000000"/>
          <w:sz w:val="24"/>
          <w:szCs w:val="24"/>
          <w:highlight w:val="none"/>
        </w:rPr>
        <w:t>《食品安全国家标准 食品中农药最大残留限量》相关规定。</w:t>
      </w:r>
    </w:p>
    <w:p>
      <w:pPr>
        <w:rPr>
          <w:rFonts w:ascii="宋体" w:hAnsi="宋体" w:cs="宋体"/>
          <w:color w:val="000000"/>
          <w:sz w:val="24"/>
          <w:szCs w:val="24"/>
          <w:highlight w:val="none"/>
        </w:rPr>
      </w:pPr>
      <w:r>
        <w:rPr>
          <w:rFonts w:hint="eastAsia" w:ascii="宋体" w:hAnsi="宋体" w:cs="宋体"/>
          <w:color w:val="000000"/>
          <w:sz w:val="24"/>
          <w:szCs w:val="24"/>
          <w:highlight w:val="none"/>
        </w:rPr>
        <w:t>4.2.4.预包装食品应符合GB 7718-</w:t>
      </w:r>
      <w:r>
        <w:rPr>
          <w:rFonts w:hint="eastAsia" w:ascii="宋体" w:hAnsi="宋体" w:cs="宋体"/>
          <w:color w:val="000000"/>
          <w:sz w:val="24"/>
          <w:szCs w:val="24"/>
          <w:highlight w:val="none"/>
          <w:lang w:val="en-US" w:eastAsia="zh-CN"/>
        </w:rPr>
        <w:t>2011</w:t>
      </w:r>
      <w:r>
        <w:rPr>
          <w:rFonts w:hint="eastAsia" w:ascii="宋体" w:hAnsi="宋体" w:cs="宋体"/>
          <w:color w:val="000000"/>
          <w:sz w:val="24"/>
          <w:szCs w:val="24"/>
          <w:highlight w:val="none"/>
        </w:rPr>
        <w:t xml:space="preserve"> 《食品安全国家标准 预包装食品标签通则》相关规定。</w:t>
      </w:r>
    </w:p>
    <w:p>
      <w:pPr>
        <w:rPr>
          <w:rFonts w:ascii="宋体" w:hAnsi="宋体" w:cs="宋体"/>
          <w:color w:val="000000"/>
          <w:sz w:val="24"/>
          <w:szCs w:val="24"/>
          <w:highlight w:val="none"/>
        </w:rPr>
      </w:pPr>
      <w:r>
        <w:rPr>
          <w:rFonts w:hint="eastAsia" w:ascii="宋体" w:hAnsi="宋体" w:cs="宋体"/>
          <w:color w:val="000000"/>
          <w:sz w:val="24"/>
          <w:szCs w:val="24"/>
          <w:highlight w:val="none"/>
        </w:rPr>
        <w:t>4.2.5.食品中兽药最大残留限量应符合GB 31650-</w:t>
      </w:r>
      <w:r>
        <w:rPr>
          <w:rFonts w:hint="eastAsia" w:ascii="宋体" w:hAnsi="宋体" w:cs="宋体"/>
          <w:color w:val="000000"/>
          <w:sz w:val="24"/>
          <w:szCs w:val="24"/>
          <w:highlight w:val="none"/>
          <w:lang w:val="en-US" w:eastAsia="zh-CN"/>
        </w:rPr>
        <w:t>2022</w:t>
      </w:r>
      <w:r>
        <w:rPr>
          <w:rFonts w:hint="eastAsia" w:ascii="宋体" w:hAnsi="宋体" w:cs="宋体"/>
          <w:color w:val="000000"/>
          <w:sz w:val="24"/>
          <w:szCs w:val="24"/>
          <w:highlight w:val="none"/>
        </w:rPr>
        <w:t xml:space="preserve"> 《食品安全国家标准 食品中兽药最大残留限量》。</w:t>
      </w:r>
    </w:p>
    <w:p>
      <w:pPr>
        <w:rPr>
          <w:rFonts w:ascii="宋体" w:hAnsi="宋体" w:cs="宋体"/>
          <w:color w:val="000000"/>
          <w:sz w:val="24"/>
          <w:szCs w:val="24"/>
          <w:highlight w:val="none"/>
        </w:rPr>
      </w:pPr>
      <w:r>
        <w:rPr>
          <w:rFonts w:hint="eastAsia" w:ascii="宋体" w:hAnsi="宋体" w:cs="宋体"/>
          <w:color w:val="000000"/>
          <w:sz w:val="24"/>
          <w:szCs w:val="24"/>
          <w:highlight w:val="none"/>
        </w:rPr>
        <w:t>4.2.6.畜禽屠宰加工过程应符合GB 12694-2016 《食品安全国家标准 畜禽屠宰加工卫生规范》相关规定。</w:t>
      </w:r>
    </w:p>
    <w:p>
      <w:pPr>
        <w:keepNext w:val="0"/>
        <w:keepLines w:val="0"/>
        <w:widowControl/>
        <w:suppressLineNumbers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4.2.7.</w:t>
      </w:r>
      <w:r>
        <w:rPr>
          <w:rFonts w:hint="eastAsia" w:ascii="宋体" w:hAnsi="宋体" w:cs="宋体"/>
          <w:color w:val="auto"/>
          <w:sz w:val="24"/>
          <w:szCs w:val="24"/>
          <w:highlight w:val="none"/>
          <w:lang w:val="en-US" w:eastAsia="zh-CN"/>
        </w:rPr>
        <w:t>鲜(</w:t>
      </w:r>
      <w:r>
        <w:rPr>
          <w:rFonts w:hint="default" w:ascii="宋体" w:hAnsi="宋体" w:cs="宋体"/>
          <w:color w:val="auto"/>
          <w:sz w:val="24"/>
          <w:szCs w:val="24"/>
          <w:highlight w:val="none"/>
          <w:lang w:val="en-US" w:eastAsia="zh-CN"/>
        </w:rPr>
        <w:t>冻)畜、禽产品</w:t>
      </w:r>
      <w:r>
        <w:rPr>
          <w:rFonts w:hint="eastAsia" w:ascii="宋体" w:hAnsi="宋体" w:cs="宋体"/>
          <w:color w:val="auto"/>
          <w:sz w:val="24"/>
          <w:szCs w:val="24"/>
          <w:highlight w:val="none"/>
        </w:rPr>
        <w:t>应符合</w:t>
      </w:r>
      <w:r>
        <w:rPr>
          <w:rFonts w:hint="default" w:ascii="宋体" w:hAnsi="宋体" w:cs="宋体"/>
          <w:color w:val="auto"/>
          <w:sz w:val="24"/>
          <w:szCs w:val="24"/>
          <w:highlight w:val="none"/>
          <w:lang w:val="en-US" w:eastAsia="zh-CN"/>
        </w:rPr>
        <w:t>GB 2707-2016</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 xml:space="preserve"> 食品安全国家标准 鲜（冻）畜、禽产品</w:t>
      </w:r>
      <w:r>
        <w:rPr>
          <w:rFonts w:hint="eastAsia" w:ascii="宋体" w:hAnsi="宋体" w:cs="宋体"/>
          <w:color w:val="auto"/>
          <w:sz w:val="24"/>
          <w:szCs w:val="24"/>
          <w:highlight w:val="none"/>
          <w:lang w:val="en-US" w:eastAsia="zh-CN"/>
        </w:rPr>
        <w:t>》及GB18394-2020《畜禽肉水分限量》及瘦肉精的</w:t>
      </w:r>
      <w:r>
        <w:rPr>
          <w:rFonts w:hint="eastAsia" w:ascii="宋体" w:hAnsi="宋体" w:cs="宋体"/>
          <w:color w:val="auto"/>
          <w:sz w:val="24"/>
          <w:szCs w:val="24"/>
          <w:highlight w:val="none"/>
        </w:rPr>
        <w:t>相关规定。</w:t>
      </w:r>
    </w:p>
    <w:p>
      <w:pPr>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4.2.8.</w:t>
      </w:r>
      <w:r>
        <w:rPr>
          <w:rFonts w:hint="eastAsia" w:ascii="宋体" w:hAnsi="宋体" w:cs="宋体"/>
          <w:color w:val="000000"/>
          <w:sz w:val="24"/>
          <w:szCs w:val="24"/>
          <w:highlight w:val="none"/>
        </w:rPr>
        <w:t>以上法规标准如有变化时，按最新标准执行。</w:t>
      </w:r>
    </w:p>
    <w:p>
      <w:pPr>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5.日常食材配送的具体品种和数量，均以采购人下达的订单执行。</w:t>
      </w:r>
    </w:p>
    <w:p>
      <w:pP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bCs/>
          <w:sz w:val="24"/>
          <w:szCs w:val="24"/>
          <w:highlight w:val="none"/>
        </w:rPr>
        <w:t>★</w:t>
      </w:r>
      <w:r>
        <w:rPr>
          <w:rFonts w:hint="eastAsia" w:ascii="宋体" w:hAnsi="宋体" w:cs="宋体"/>
          <w:color w:val="000000" w:themeColor="text1"/>
          <w:sz w:val="24"/>
          <w:szCs w:val="24"/>
          <w:highlight w:val="none"/>
          <w:lang w:val="en-US" w:eastAsia="zh-CN"/>
          <w14:textFill>
            <w14:solidFill>
              <w14:schemeClr w14:val="tx1"/>
            </w14:solidFill>
          </w14:textFill>
        </w:rPr>
        <w:t>6.定价方式：</w:t>
      </w:r>
    </w:p>
    <w:p>
      <w:pP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6.1</w:t>
      </w:r>
      <w:r>
        <w:rPr>
          <w:rFonts w:hint="eastAsia" w:ascii="宋体" w:hAnsi="宋体" w:cs="宋体"/>
          <w:color w:val="000000" w:themeColor="text1"/>
          <w:sz w:val="24"/>
          <w:szCs w:val="24"/>
          <w:highlight w:val="none"/>
          <w14:textFill>
            <w14:solidFill>
              <w14:schemeClr w14:val="tx1"/>
            </w14:solidFill>
          </w14:textFill>
        </w:rPr>
        <w:t>本项目</w:t>
      </w:r>
      <w:r>
        <w:rPr>
          <w:rFonts w:hint="eastAsia" w:ascii="宋体" w:hAnsi="宋体" w:cs="宋体"/>
          <w:color w:val="000000" w:themeColor="text1"/>
          <w:sz w:val="24"/>
          <w:szCs w:val="24"/>
          <w:highlight w:val="none"/>
          <w:lang w:val="en-US" w:eastAsia="zh-CN"/>
          <w14:textFill>
            <w14:solidFill>
              <w14:schemeClr w14:val="tx1"/>
            </w14:solidFill>
          </w14:textFill>
        </w:rPr>
        <w:t>供应商统一以结算率</w:t>
      </w:r>
      <w:r>
        <w:rPr>
          <w:rFonts w:hint="eastAsia" w:ascii="宋体" w:hAnsi="宋体" w:cs="宋体"/>
          <w:color w:val="000000" w:themeColor="text1"/>
          <w:sz w:val="24"/>
          <w:szCs w:val="24"/>
          <w:highlight w:val="none"/>
          <w14:textFill>
            <w14:solidFill>
              <w14:schemeClr w14:val="tx1"/>
            </w14:solidFill>
          </w14:textFill>
        </w:rPr>
        <w:t>报价</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以百分比表示，</w:t>
      </w:r>
      <w:r>
        <w:rPr>
          <w:rFonts w:hint="eastAsia" w:ascii="宋体" w:hAnsi="宋体" w:cs="宋体"/>
          <w:color w:val="000000" w:themeColor="text1"/>
          <w:sz w:val="24"/>
          <w:szCs w:val="24"/>
          <w:highlight w:val="none"/>
          <w14:textFill>
            <w14:solidFill>
              <w14:schemeClr w14:val="tx1"/>
            </w14:solidFill>
          </w14:textFill>
        </w:rPr>
        <w:t>百分比精确到小数点后两位)</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结算</w:t>
      </w:r>
      <w:r>
        <w:rPr>
          <w:rFonts w:hint="eastAsia" w:ascii="宋体" w:hAnsi="宋体" w:cs="宋体"/>
          <w:color w:val="000000" w:themeColor="text1"/>
          <w:sz w:val="24"/>
          <w:szCs w:val="24"/>
          <w:highlight w:val="none"/>
          <w14:textFill>
            <w14:solidFill>
              <w14:schemeClr w14:val="tx1"/>
            </w14:solidFill>
          </w14:textFill>
        </w:rPr>
        <w:t>率存在负数、超过百分之百或有多个报价（</w:t>
      </w:r>
      <w:r>
        <w:rPr>
          <w:rFonts w:hint="eastAsia" w:ascii="宋体" w:hAnsi="宋体" w:cs="宋体"/>
          <w:color w:val="000000" w:themeColor="text1"/>
          <w:sz w:val="24"/>
          <w:szCs w:val="24"/>
          <w:highlight w:val="none"/>
          <w:lang w:val="en-US" w:eastAsia="zh-CN"/>
          <w14:textFill>
            <w14:solidFill>
              <w14:schemeClr w14:val="tx1"/>
            </w14:solidFill>
          </w14:textFill>
        </w:rPr>
        <w:t>结算</w:t>
      </w:r>
      <w:r>
        <w:rPr>
          <w:rFonts w:hint="eastAsia" w:ascii="宋体" w:hAnsi="宋体" w:cs="宋体"/>
          <w:color w:val="000000" w:themeColor="text1"/>
          <w:sz w:val="24"/>
          <w:szCs w:val="24"/>
          <w:highlight w:val="none"/>
          <w14:textFill>
            <w14:solidFill>
              <w14:schemeClr w14:val="tx1"/>
            </w14:solidFill>
          </w14:textFill>
        </w:rPr>
        <w:t>率）的情形，投标文件按无效处理。</w:t>
      </w:r>
      <w:r>
        <w:rPr>
          <w:rFonts w:hint="eastAsia" w:ascii="宋体" w:hAnsi="宋体" w:cs="宋体"/>
          <w:color w:val="000000" w:themeColor="text1"/>
          <w:sz w:val="24"/>
          <w:szCs w:val="24"/>
          <w:highlight w:val="none"/>
          <w:lang w:val="en-US" w:eastAsia="zh-CN"/>
          <w14:textFill>
            <w14:solidFill>
              <w14:schemeClr w14:val="tx1"/>
            </w14:solidFill>
          </w14:textFill>
        </w:rPr>
        <w:t>供应商的报价是响应本项目要求的全部工作内容的价格体现，包括供应商完成本项目所需的人工劳务、货物成本、包装、运输、装卸、保险以及</w:t>
      </w:r>
      <w:r>
        <w:rPr>
          <w:rFonts w:hint="eastAsia" w:ascii="宋体" w:hAnsi="宋体" w:cs="宋体"/>
          <w:color w:val="000000" w:themeColor="text1"/>
          <w:sz w:val="24"/>
          <w:szCs w:val="24"/>
          <w:highlight w:val="none"/>
          <w14:textFill>
            <w14:solidFill>
              <w14:schemeClr w14:val="tx1"/>
            </w14:solidFill>
          </w14:textFill>
        </w:rPr>
        <w:t>合同实施过程可预见及不可预见费用等</w:t>
      </w:r>
      <w:r>
        <w:rPr>
          <w:rFonts w:hint="eastAsia" w:ascii="宋体" w:hAnsi="宋体" w:cs="宋体"/>
          <w:color w:val="000000" w:themeColor="text1"/>
          <w:sz w:val="24"/>
          <w:szCs w:val="24"/>
          <w:highlight w:val="none"/>
          <w:lang w:val="en-US" w:eastAsia="zh-CN"/>
          <w14:textFill>
            <w14:solidFill>
              <w14:schemeClr w14:val="tx1"/>
            </w14:solidFill>
          </w14:textFill>
        </w:rPr>
        <w:t>一切成本和费用。</w:t>
      </w:r>
    </w:p>
    <w:p>
      <w:p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6.2.</w:t>
      </w:r>
      <w:r>
        <w:rPr>
          <w:rFonts w:hint="eastAsia" w:ascii="宋体" w:hAnsi="宋体" w:cs="宋体"/>
          <w:color w:val="000000" w:themeColor="text1"/>
          <w:sz w:val="24"/>
          <w:szCs w:val="24"/>
          <w:highlight w:val="none"/>
          <w14:textFill>
            <w14:solidFill>
              <w14:schemeClr w14:val="tx1"/>
            </w14:solidFill>
          </w14:textFill>
        </w:rPr>
        <w:t>结算价的确定：结算价=供货基准价*</w:t>
      </w:r>
      <w:r>
        <w:rPr>
          <w:rFonts w:hint="eastAsia" w:ascii="宋体" w:hAnsi="宋体" w:cs="宋体"/>
          <w:color w:val="000000" w:themeColor="text1"/>
          <w:sz w:val="24"/>
          <w:szCs w:val="24"/>
          <w:highlight w:val="none"/>
          <w:lang w:val="en-US" w:eastAsia="zh-CN"/>
          <w14:textFill>
            <w14:solidFill>
              <w14:schemeClr w14:val="tx1"/>
            </w14:solidFill>
          </w14:textFill>
        </w:rPr>
        <w:t>结算</w:t>
      </w:r>
      <w:r>
        <w:rPr>
          <w:rFonts w:hint="eastAsia" w:ascii="宋体" w:hAnsi="宋体" w:cs="宋体"/>
          <w:color w:val="000000" w:themeColor="text1"/>
          <w:sz w:val="24"/>
          <w:szCs w:val="24"/>
          <w:highlight w:val="none"/>
          <w14:textFill>
            <w14:solidFill>
              <w14:schemeClr w14:val="tx1"/>
            </w14:solidFill>
          </w14:textFill>
        </w:rPr>
        <w:t>率</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计算结果按四舍五入处理，保留两位小数</w:t>
      </w:r>
      <w:r>
        <w:rPr>
          <w:rFonts w:hint="eastAsia" w:ascii="宋体" w:hAnsi="宋体" w:cs="宋体"/>
          <w:color w:val="000000" w:themeColor="text1"/>
          <w:sz w:val="24"/>
          <w:szCs w:val="24"/>
          <w:highlight w:val="none"/>
          <w:lang w:eastAsia="zh-CN"/>
          <w14:textFill>
            <w14:solidFill>
              <w14:schemeClr w14:val="tx1"/>
            </w14:solidFill>
          </w14:textFill>
        </w:rPr>
        <w:t>）</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举例说明：假设采购人采购精牛腩</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依据双方确定的基准价35</w:t>
      </w:r>
      <w:r>
        <w:rPr>
          <w:rFonts w:hint="eastAsia" w:ascii="宋体" w:hAnsi="宋体" w:cs="宋体"/>
          <w:color w:val="000000" w:themeColor="text1"/>
          <w:sz w:val="24"/>
          <w:szCs w:val="24"/>
          <w:highlight w:val="none"/>
          <w:lang w:val="en-US" w:eastAsia="zh-CN"/>
          <w14:textFill>
            <w14:solidFill>
              <w14:schemeClr w14:val="tx1"/>
            </w14:solidFill>
          </w14:textFill>
        </w:rPr>
        <w:t>.55</w:t>
      </w:r>
      <w:r>
        <w:rPr>
          <w:rFonts w:hint="eastAsia" w:ascii="宋体" w:hAnsi="宋体" w:cs="宋体"/>
          <w:color w:val="000000" w:themeColor="text1"/>
          <w:sz w:val="24"/>
          <w:szCs w:val="24"/>
          <w:highlight w:val="none"/>
          <w14:textFill>
            <w14:solidFill>
              <w14:schemeClr w14:val="tx1"/>
            </w14:solidFill>
          </w14:textFill>
        </w:rPr>
        <w:t>元/斤，若中标</w:t>
      </w:r>
      <w:r>
        <w:rPr>
          <w:rFonts w:hint="eastAsia" w:ascii="宋体" w:hAnsi="宋体" w:cs="宋体"/>
          <w:color w:val="000000" w:themeColor="text1"/>
          <w:sz w:val="24"/>
          <w:szCs w:val="24"/>
          <w:highlight w:val="none"/>
          <w:lang w:val="en-US" w:eastAsia="zh-CN"/>
          <w14:textFill>
            <w14:solidFill>
              <w14:schemeClr w14:val="tx1"/>
            </w14:solidFill>
          </w14:textFill>
        </w:rPr>
        <w:t>结算率</w:t>
      </w:r>
      <w:r>
        <w:rPr>
          <w:rFonts w:hint="eastAsia" w:ascii="宋体" w:hAnsi="宋体" w:cs="宋体"/>
          <w:color w:val="000000" w:themeColor="text1"/>
          <w:sz w:val="24"/>
          <w:szCs w:val="24"/>
          <w:highlight w:val="none"/>
          <w14:textFill>
            <w14:solidFill>
              <w14:schemeClr w14:val="tx1"/>
            </w14:solidFill>
          </w14:textFill>
        </w:rPr>
        <w:t>为</w:t>
      </w:r>
      <w:r>
        <w:rPr>
          <w:rFonts w:hint="eastAsia" w:ascii="宋体" w:hAnsi="宋体" w:cs="宋体"/>
          <w:color w:val="000000" w:themeColor="text1"/>
          <w:sz w:val="24"/>
          <w:szCs w:val="24"/>
          <w:highlight w:val="none"/>
          <w:lang w:val="en-US" w:eastAsia="zh-CN"/>
          <w14:textFill>
            <w14:solidFill>
              <w14:schemeClr w14:val="tx1"/>
            </w14:solidFill>
          </w14:textFill>
        </w:rPr>
        <w:t>82</w:t>
      </w:r>
      <w:r>
        <w:rPr>
          <w:rFonts w:hint="eastAsia" w:ascii="宋体" w:hAnsi="宋体" w:cs="宋体"/>
          <w:color w:val="000000" w:themeColor="text1"/>
          <w:sz w:val="24"/>
          <w:szCs w:val="24"/>
          <w:highlight w:val="none"/>
          <w14:textFill>
            <w14:solidFill>
              <w14:schemeClr w14:val="tx1"/>
            </w14:solidFill>
          </w14:textFill>
        </w:rPr>
        <w:t>%，则结算价计算如下：35</w:t>
      </w:r>
      <w:r>
        <w:rPr>
          <w:rFonts w:hint="eastAsia" w:ascii="宋体" w:hAnsi="宋体" w:cs="宋体"/>
          <w:color w:val="000000" w:themeColor="text1"/>
          <w:sz w:val="24"/>
          <w:szCs w:val="24"/>
          <w:highlight w:val="none"/>
          <w:lang w:val="en-US" w:eastAsia="zh-CN"/>
          <w14:textFill>
            <w14:solidFill>
              <w14:schemeClr w14:val="tx1"/>
            </w14:solidFill>
          </w14:textFill>
        </w:rPr>
        <w:t xml:space="preserve">.55 </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 xml:space="preserve"> 82</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29.15</w:t>
      </w:r>
      <w:r>
        <w:rPr>
          <w:rFonts w:hint="eastAsia" w:ascii="宋体" w:hAnsi="宋体" w:cs="宋体"/>
          <w:color w:val="000000" w:themeColor="text1"/>
          <w:sz w:val="24"/>
          <w:szCs w:val="24"/>
          <w:highlight w:val="none"/>
          <w14:textFill>
            <w14:solidFill>
              <w14:schemeClr w14:val="tx1"/>
            </w14:solidFill>
          </w14:textFill>
        </w:rPr>
        <w:t>元/斤。</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sz w:val="24"/>
          <w:szCs w:val="24"/>
          <w:highlight w:val="none"/>
          <w:lang w:val="en-US" w:eastAsia="zh-CN"/>
        </w:rPr>
        <w:t>6.3.供</w:t>
      </w:r>
      <w:r>
        <w:rPr>
          <w:rFonts w:hint="eastAsia" w:ascii="宋体" w:hAnsi="宋体" w:cs="宋体"/>
          <w:color w:val="000000" w:themeColor="text1"/>
          <w:sz w:val="24"/>
          <w:szCs w:val="24"/>
          <w:highlight w:val="none"/>
          <w14:textFill>
            <w14:solidFill>
              <w14:schemeClr w14:val="tx1"/>
            </w14:solidFill>
          </w14:textFill>
        </w:rPr>
        <w:t>货基准价的确定：</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sz w:val="24"/>
          <w:szCs w:val="24"/>
          <w:highlight w:val="none"/>
          <w:lang w:val="en-US" w:eastAsia="zh-CN"/>
        </w:rPr>
        <w:t>6.3.1.</w:t>
      </w:r>
      <w:r>
        <w:rPr>
          <w:rFonts w:hint="eastAsia" w:ascii="宋体" w:hAnsi="宋体" w:cs="宋体"/>
          <w:color w:val="000000" w:themeColor="text1"/>
          <w:sz w:val="24"/>
          <w:szCs w:val="24"/>
          <w:highlight w:val="none"/>
          <w14:textFill>
            <w14:solidFill>
              <w14:schemeClr w14:val="tx1"/>
            </w14:solidFill>
          </w14:textFill>
        </w:rPr>
        <w:t>货物价格以</w:t>
      </w:r>
      <w:r>
        <w:rPr>
          <w:rFonts w:hint="eastAsia" w:ascii="宋体" w:hAnsi="宋体" w:cs="宋体"/>
          <w:color w:val="000000" w:themeColor="text1"/>
          <w:sz w:val="24"/>
          <w:szCs w:val="24"/>
          <w:highlight w:val="none"/>
          <w:lang w:eastAsia="zh-CN"/>
          <w14:textFill>
            <w14:solidFill>
              <w14:schemeClr w14:val="tx1"/>
            </w14:solidFill>
          </w14:textFill>
        </w:rPr>
        <w:t>成都市</w:t>
      </w:r>
      <w:r>
        <w:rPr>
          <w:rFonts w:hint="eastAsia" w:ascii="宋体" w:hAnsi="宋体" w:cs="宋体"/>
          <w:color w:val="000000" w:themeColor="text1"/>
          <w:sz w:val="24"/>
          <w:szCs w:val="24"/>
          <w:highlight w:val="none"/>
          <w14:textFill>
            <w14:solidFill>
              <w14:schemeClr w14:val="tx1"/>
            </w14:solidFill>
          </w14:textFill>
        </w:rPr>
        <w:t>发改委每月首次发布的《</w:t>
      </w:r>
      <w:r>
        <w:rPr>
          <w:rFonts w:hint="eastAsia" w:ascii="宋体" w:hAnsi="宋体" w:cs="宋体"/>
          <w:color w:val="000000" w:themeColor="text1"/>
          <w:sz w:val="24"/>
          <w:szCs w:val="24"/>
          <w:highlight w:val="none"/>
          <w:lang w:eastAsia="zh-CN"/>
          <w14:textFill>
            <w14:solidFill>
              <w14:schemeClr w14:val="tx1"/>
            </w14:solidFill>
          </w14:textFill>
        </w:rPr>
        <w:t>成都市发展和改革委员会-</w:t>
      </w:r>
      <w:r>
        <w:rPr>
          <w:rFonts w:hint="eastAsia" w:ascii="宋体" w:hAnsi="宋体" w:cs="宋体"/>
          <w:color w:val="000000" w:themeColor="text1"/>
          <w:sz w:val="24"/>
          <w:szCs w:val="24"/>
          <w:highlight w:val="none"/>
          <w:lang w:val="en-US" w:eastAsia="zh-CN"/>
          <w14:textFill>
            <w14:solidFill>
              <w14:schemeClr w14:val="tx1"/>
            </w14:solidFill>
          </w14:textFill>
        </w:rPr>
        <w:t>价格和收费信息公开-中心城区部分农贸市场价格</w:t>
      </w:r>
      <w:r>
        <w:rPr>
          <w:rFonts w:hint="eastAsia" w:ascii="宋体" w:hAnsi="宋体" w:cs="宋体"/>
          <w:color w:val="000000" w:themeColor="text1"/>
          <w:sz w:val="24"/>
          <w:szCs w:val="24"/>
          <w:highlight w:val="none"/>
          <w14:textFill>
            <w14:solidFill>
              <w14:schemeClr w14:val="tx1"/>
            </w14:solidFill>
          </w14:textFill>
        </w:rPr>
        <w:t>》作为基准价参考。</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sz w:val="24"/>
          <w:szCs w:val="24"/>
          <w:highlight w:val="none"/>
          <w:lang w:val="en-US" w:eastAsia="zh-CN"/>
        </w:rPr>
        <w:t>6.3.2.</w:t>
      </w:r>
      <w:r>
        <w:rPr>
          <w:rFonts w:hint="eastAsia" w:ascii="宋体" w:hAnsi="宋体" w:cs="宋体"/>
          <w:color w:val="000000" w:themeColor="text1"/>
          <w:sz w:val="24"/>
          <w:szCs w:val="24"/>
          <w:highlight w:val="none"/>
          <w14:textFill>
            <w14:solidFill>
              <w14:schemeClr w14:val="tx1"/>
            </w14:solidFill>
          </w14:textFill>
        </w:rPr>
        <w:t>所供货物不在《</w:t>
      </w:r>
      <w:r>
        <w:rPr>
          <w:rFonts w:hint="eastAsia" w:ascii="宋体" w:hAnsi="宋体" w:cs="宋体"/>
          <w:color w:val="000000" w:themeColor="text1"/>
          <w:sz w:val="24"/>
          <w:szCs w:val="24"/>
          <w:highlight w:val="none"/>
          <w:lang w:eastAsia="zh-CN"/>
          <w14:textFill>
            <w14:solidFill>
              <w14:schemeClr w14:val="tx1"/>
            </w14:solidFill>
          </w14:textFill>
        </w:rPr>
        <w:t>成都市发展和改革委员会-</w:t>
      </w:r>
      <w:r>
        <w:rPr>
          <w:rFonts w:hint="eastAsia" w:ascii="宋体" w:hAnsi="宋体" w:cs="宋体"/>
          <w:color w:val="000000" w:themeColor="text1"/>
          <w:sz w:val="24"/>
          <w:szCs w:val="24"/>
          <w:highlight w:val="none"/>
          <w:lang w:val="en-US" w:eastAsia="zh-CN"/>
          <w14:textFill>
            <w14:solidFill>
              <w14:schemeClr w14:val="tx1"/>
            </w14:solidFill>
          </w14:textFill>
        </w:rPr>
        <w:t>价格和收费信息公开-中心城区部分农贸市场价格</w:t>
      </w:r>
      <w:r>
        <w:rPr>
          <w:rFonts w:hint="eastAsia" w:ascii="宋体" w:hAnsi="宋体" w:cs="宋体"/>
          <w:color w:val="000000" w:themeColor="text1"/>
          <w:sz w:val="24"/>
          <w:szCs w:val="24"/>
          <w:highlight w:val="none"/>
          <w14:textFill>
            <w14:solidFill>
              <w14:schemeClr w14:val="tx1"/>
            </w14:solidFill>
          </w14:textFill>
        </w:rPr>
        <w:t>》内的，首先参照</w:t>
      </w:r>
      <w:r>
        <w:rPr>
          <w:rFonts w:hint="eastAsia" w:ascii="宋体" w:hAnsi="宋体" w:cs="宋体"/>
          <w:color w:val="000000" w:themeColor="text1"/>
          <w:sz w:val="24"/>
          <w:szCs w:val="24"/>
          <w:highlight w:val="none"/>
          <w:lang w:eastAsia="zh-CN"/>
          <w14:textFill>
            <w14:solidFill>
              <w14:schemeClr w14:val="tx1"/>
            </w14:solidFill>
          </w14:textFill>
        </w:rPr>
        <w:t>《成都市城市居民生活价格服务公益平台》</w:t>
      </w:r>
      <w:r>
        <w:rPr>
          <w:rFonts w:hint="eastAsia" w:ascii="宋体" w:hAnsi="宋体" w:cs="宋体"/>
          <w:color w:val="000000" w:themeColor="text1"/>
          <w:sz w:val="24"/>
          <w:szCs w:val="24"/>
          <w:highlight w:val="none"/>
          <w:lang w:val="en-US" w:eastAsia="zh-CN"/>
          <w14:textFill>
            <w14:solidFill>
              <w14:schemeClr w14:val="tx1"/>
            </w14:solidFill>
          </w14:textFill>
        </w:rPr>
        <w:t>发布</w:t>
      </w:r>
      <w:r>
        <w:rPr>
          <w:rFonts w:hint="eastAsia" w:ascii="宋体" w:hAnsi="宋体" w:cs="宋体"/>
          <w:color w:val="000000" w:themeColor="text1"/>
          <w:sz w:val="24"/>
          <w:szCs w:val="24"/>
          <w:highlight w:val="none"/>
          <w14:textFill>
            <w14:solidFill>
              <w14:schemeClr w14:val="tx1"/>
            </w14:solidFill>
          </w14:textFill>
        </w:rPr>
        <w:t>的市场平均价作为基准价。</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sz w:val="24"/>
          <w:szCs w:val="24"/>
          <w:highlight w:val="none"/>
          <w:lang w:val="en-US" w:eastAsia="zh-CN"/>
        </w:rPr>
        <w:t>6.3.3.</w:t>
      </w:r>
      <w:r>
        <w:rPr>
          <w:rFonts w:hint="eastAsia" w:ascii="宋体" w:hAnsi="宋体" w:cs="宋体"/>
          <w:color w:val="000000" w:themeColor="text1"/>
          <w:sz w:val="24"/>
          <w:szCs w:val="24"/>
          <w:highlight w:val="none"/>
          <w14:textFill>
            <w14:solidFill>
              <w14:schemeClr w14:val="tx1"/>
            </w14:solidFill>
          </w14:textFill>
        </w:rPr>
        <w:t>如果采购货物未在</w:t>
      </w:r>
      <w:r>
        <w:rPr>
          <w:rFonts w:hint="eastAsia" w:ascii="宋体" w:hAnsi="宋体" w:cs="宋体"/>
          <w:color w:val="000000" w:themeColor="text1"/>
          <w:sz w:val="24"/>
          <w:szCs w:val="24"/>
          <w:highlight w:val="none"/>
          <w:lang w:eastAsia="zh-CN"/>
          <w14:textFill>
            <w14:solidFill>
              <w14:schemeClr w14:val="tx1"/>
            </w14:solidFill>
          </w14:textFill>
        </w:rPr>
        <w:t>《成都市城市居民生活价格服务</w:t>
      </w:r>
      <w:r>
        <w:rPr>
          <w:rFonts w:hint="eastAsia" w:ascii="宋体" w:hAnsi="宋体" w:cs="宋体"/>
          <w:color w:val="000000" w:themeColor="text1"/>
          <w:sz w:val="24"/>
          <w:szCs w:val="24"/>
          <w:highlight w:val="none"/>
          <w:lang w:val="en-US" w:eastAsia="zh-CN"/>
          <w14:textFill>
            <w14:solidFill>
              <w14:schemeClr w14:val="tx1"/>
            </w14:solidFill>
          </w14:textFill>
        </w:rPr>
        <w:t>公益</w:t>
      </w:r>
      <w:r>
        <w:rPr>
          <w:rFonts w:hint="eastAsia" w:ascii="宋体" w:hAnsi="宋体" w:cs="宋体"/>
          <w:color w:val="000000" w:themeColor="text1"/>
          <w:sz w:val="24"/>
          <w:szCs w:val="24"/>
          <w:highlight w:val="none"/>
          <w:lang w:eastAsia="zh-CN"/>
          <w14:textFill>
            <w14:solidFill>
              <w14:schemeClr w14:val="tx1"/>
            </w14:solidFill>
          </w14:textFill>
        </w:rPr>
        <w:t>平台》</w:t>
      </w:r>
      <w:r>
        <w:rPr>
          <w:rFonts w:hint="eastAsia" w:ascii="宋体" w:hAnsi="宋体" w:cs="宋体"/>
          <w:color w:val="000000" w:themeColor="text1"/>
          <w:sz w:val="24"/>
          <w:szCs w:val="24"/>
          <w:highlight w:val="none"/>
          <w:lang w:val="en-US" w:eastAsia="zh-CN"/>
          <w14:textFill>
            <w14:solidFill>
              <w14:schemeClr w14:val="tx1"/>
            </w14:solidFill>
          </w14:textFill>
        </w:rPr>
        <w:t>内的</w:t>
      </w:r>
      <w:r>
        <w:rPr>
          <w:rFonts w:hint="eastAsia" w:ascii="宋体" w:hAnsi="宋体" w:cs="宋体"/>
          <w:color w:val="000000" w:themeColor="text1"/>
          <w:sz w:val="24"/>
          <w:szCs w:val="24"/>
          <w:highlight w:val="none"/>
          <w14:textFill>
            <w14:solidFill>
              <w14:schemeClr w14:val="tx1"/>
            </w14:solidFill>
          </w14:textFill>
        </w:rPr>
        <w:t>，则在项目所在地就近的综合市场或大型超市进行联合采价作为基准价（每次采价由院方随机抽取），</w:t>
      </w:r>
      <w:r>
        <w:rPr>
          <w:rFonts w:hint="eastAsia" w:ascii="宋体" w:hAnsi="宋体" w:cs="宋体"/>
          <w:color w:val="000000"/>
          <w:sz w:val="24"/>
          <w:szCs w:val="24"/>
          <w:highlight w:val="none"/>
          <w:lang w:val="en-US" w:eastAsia="zh-CN"/>
        </w:rPr>
        <w:t>基准价为该市场的常规零售标价，临时性、短期性促销价格（如店庆、限时特价）、会员专享价、破损或临期商品处理等非正常售价，不作为基准价，采购结果应由采购方、供应方共同签字确认。</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6.3.4.</w:t>
      </w:r>
      <w:r>
        <w:rPr>
          <w:rFonts w:hint="eastAsia" w:ascii="宋体" w:hAnsi="宋体" w:cs="宋体"/>
          <w:color w:val="000000" w:themeColor="text1"/>
          <w:sz w:val="24"/>
          <w:szCs w:val="24"/>
          <w:highlight w:val="none"/>
          <w14:textFill>
            <w14:solidFill>
              <w14:schemeClr w14:val="tx1"/>
            </w14:solidFill>
          </w14:textFill>
        </w:rPr>
        <w:t>该项目采价周期为每月一次。</w:t>
      </w:r>
    </w:p>
    <w:p>
      <w:pPr>
        <w:rPr>
          <w:rFonts w:hint="eastAsia" w:ascii="宋体" w:hAnsi="宋体" w:cs="宋体"/>
          <w:color w:val="000000"/>
          <w:sz w:val="24"/>
          <w:szCs w:val="24"/>
          <w:highlight w:val="none"/>
        </w:rPr>
      </w:pPr>
      <w:r>
        <w:rPr>
          <w:rFonts w:hint="eastAsia" w:ascii="宋体" w:hAnsi="宋体" w:cs="宋体"/>
          <w:color w:val="000000"/>
          <w:sz w:val="24"/>
          <w:szCs w:val="24"/>
          <w:highlight w:val="none"/>
        </w:rPr>
        <w:t>7.所供货物应能在政府指定的食品溯源系统进行有效溯源。</w:t>
      </w:r>
    </w:p>
    <w:p>
      <w:pPr>
        <w:pStyle w:val="2"/>
        <w:rPr>
          <w:rFonts w:hint="eastAsia" w:ascii="宋体" w:hAnsi="宋体" w:cs="宋体"/>
          <w:color w:val="000000"/>
          <w:sz w:val="24"/>
          <w:szCs w:val="24"/>
          <w:highlight w:val="none"/>
        </w:rPr>
      </w:pPr>
      <w:r>
        <w:rPr>
          <w:rFonts w:hint="eastAsia" w:ascii="宋体" w:hAnsi="宋体" w:cs="宋体"/>
          <w:color w:val="000000"/>
          <w:sz w:val="24"/>
          <w:szCs w:val="24"/>
          <w:highlight w:val="none"/>
        </w:rPr>
        <w:t>8.</w:t>
      </w:r>
      <w:r>
        <w:rPr>
          <w:rFonts w:hint="eastAsia" w:ascii="宋体" w:hAnsi="宋体" w:cs="宋体"/>
          <w:color w:val="000000"/>
          <w:sz w:val="24"/>
          <w:szCs w:val="24"/>
          <w:highlight w:val="none"/>
          <w:lang w:val="en-US" w:eastAsia="zh-CN"/>
        </w:rPr>
        <w:t>根据采购人每日加工需求，供应商须能够并按要求</w:t>
      </w:r>
      <w:r>
        <w:rPr>
          <w:rFonts w:hint="eastAsia" w:ascii="宋体" w:hAnsi="宋体" w:cs="宋体"/>
          <w:color w:val="000000"/>
          <w:sz w:val="24"/>
          <w:szCs w:val="24"/>
          <w:highlight w:val="none"/>
          <w:lang w:eastAsia="zh-Hans"/>
        </w:rPr>
        <w:t>提供2名或2名以上持有有效健康证的工作人员</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eastAsia="zh-Hans"/>
        </w:rPr>
        <w:t>在</w:t>
      </w:r>
      <w:r>
        <w:rPr>
          <w:rFonts w:hint="eastAsia" w:ascii="宋体" w:hAnsi="宋体" w:cs="宋体"/>
          <w:color w:val="000000"/>
          <w:sz w:val="24"/>
          <w:szCs w:val="24"/>
          <w:highlight w:val="none"/>
        </w:rPr>
        <w:t>采购人</w:t>
      </w:r>
      <w:r>
        <w:rPr>
          <w:rFonts w:hint="eastAsia" w:ascii="宋体" w:hAnsi="宋体" w:cs="宋体"/>
          <w:color w:val="000000"/>
          <w:sz w:val="24"/>
          <w:szCs w:val="24"/>
          <w:highlight w:val="none"/>
          <w:lang w:eastAsia="zh-Hans"/>
        </w:rPr>
        <w:t>指定场所协助</w:t>
      </w:r>
      <w:r>
        <w:rPr>
          <w:rFonts w:hint="eastAsia" w:ascii="宋体" w:hAnsi="宋体" w:cs="宋体"/>
          <w:color w:val="000000"/>
          <w:sz w:val="24"/>
          <w:szCs w:val="24"/>
          <w:highlight w:val="none"/>
          <w:lang w:val="en-US" w:eastAsia="zh-CN"/>
        </w:rPr>
        <w:t>进行</w:t>
      </w:r>
      <w:r>
        <w:rPr>
          <w:rFonts w:hint="eastAsia" w:ascii="宋体" w:hAnsi="宋体" w:cs="宋体"/>
          <w:color w:val="000000"/>
          <w:sz w:val="24"/>
          <w:szCs w:val="24"/>
          <w:highlight w:val="none"/>
          <w:lang w:eastAsia="zh-Hans"/>
        </w:rPr>
        <w:t>畜禽肉和水产品粗加工</w:t>
      </w:r>
      <w:r>
        <w:rPr>
          <w:rFonts w:hint="eastAsia" w:ascii="宋体" w:hAnsi="宋体" w:cs="宋体"/>
          <w:color w:val="000000"/>
          <w:sz w:val="24"/>
          <w:szCs w:val="24"/>
          <w:highlight w:val="none"/>
        </w:rPr>
        <w:t>。</w:t>
      </w:r>
    </w:p>
    <w:p>
      <w:pPr>
        <w:pStyle w:val="2"/>
        <w:rPr>
          <w:rFonts w:hint="eastAsia" w:ascii="宋体" w:hAnsi="宋体" w:cs="宋体"/>
          <w:color w:val="000000"/>
          <w:sz w:val="24"/>
          <w:szCs w:val="24"/>
          <w:highlight w:val="none"/>
        </w:rPr>
      </w:pPr>
      <w:r>
        <w:rPr>
          <w:rFonts w:hint="eastAsia" w:ascii="宋体" w:hAnsi="宋体" w:cs="宋体"/>
          <w:sz w:val="24"/>
          <w:szCs w:val="24"/>
          <w:highlight w:val="none"/>
          <w:lang w:val="en-US" w:eastAsia="zh-CN"/>
        </w:rPr>
        <w:t>9.</w:t>
      </w:r>
      <w:r>
        <w:rPr>
          <w:rFonts w:ascii="宋体" w:hAnsi="宋体" w:eastAsia="宋体" w:cs="宋体"/>
          <w:sz w:val="24"/>
          <w:szCs w:val="24"/>
          <w:highlight w:val="none"/>
        </w:rPr>
        <w:t>服务期限</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本项目服务期限</w:t>
      </w:r>
      <w:r>
        <w:rPr>
          <w:rFonts w:hint="eastAsia" w:ascii="宋体" w:hAnsi="宋体" w:cs="宋体"/>
          <w:sz w:val="24"/>
          <w:szCs w:val="24"/>
          <w:highlight w:val="none"/>
          <w:lang w:val="en-US" w:eastAsia="zh-CN"/>
        </w:rPr>
        <w:t>3</w:t>
      </w:r>
      <w:r>
        <w:rPr>
          <w:rFonts w:ascii="宋体" w:hAnsi="宋体" w:eastAsia="宋体" w:cs="宋体"/>
          <w:sz w:val="24"/>
          <w:szCs w:val="24"/>
          <w:highlight w:val="none"/>
        </w:rPr>
        <w:t>年，合同一年一签。经</w:t>
      </w:r>
      <w:r>
        <w:rPr>
          <w:rFonts w:hint="eastAsia" w:ascii="宋体" w:hAnsi="宋体" w:eastAsia="宋体" w:cs="宋体"/>
          <w:sz w:val="24"/>
          <w:szCs w:val="24"/>
          <w:highlight w:val="none"/>
          <w:lang w:val="en-US" w:eastAsia="zh-CN"/>
        </w:rPr>
        <w:t>采购</w:t>
      </w:r>
      <w:r>
        <w:rPr>
          <w:rFonts w:ascii="宋体" w:hAnsi="宋体" w:eastAsia="宋体" w:cs="宋体"/>
          <w:sz w:val="24"/>
          <w:szCs w:val="24"/>
          <w:highlight w:val="none"/>
        </w:rPr>
        <w:t>方年度考核</w:t>
      </w:r>
      <w:r>
        <w:rPr>
          <w:rFonts w:hint="eastAsia" w:hAnsi="宋体" w:cs="宋体"/>
          <w:sz w:val="24"/>
          <w:szCs w:val="24"/>
          <w:highlight w:val="none"/>
          <w:lang w:val="en-US" w:eastAsia="zh-CN"/>
        </w:rPr>
        <w:t>禽蛋肉</w:t>
      </w:r>
      <w:r>
        <w:rPr>
          <w:rFonts w:ascii="宋体" w:hAnsi="宋体" w:eastAsia="宋体" w:cs="宋体"/>
          <w:sz w:val="24"/>
          <w:szCs w:val="24"/>
          <w:highlight w:val="none"/>
        </w:rPr>
        <w:t>供应服务合格（不合格为一个合同年度内累计三个月考核低于</w:t>
      </w:r>
      <w:r>
        <w:rPr>
          <w:rFonts w:hint="eastAsia" w:ascii="宋体" w:hAnsi="宋体" w:cs="宋体"/>
          <w:sz w:val="24"/>
          <w:szCs w:val="24"/>
          <w:highlight w:val="none"/>
          <w:lang w:val="en-US" w:eastAsia="zh-CN"/>
        </w:rPr>
        <w:t>85</w:t>
      </w:r>
      <w:r>
        <w:rPr>
          <w:rFonts w:ascii="宋体" w:hAnsi="宋体" w:eastAsia="宋体" w:cs="宋体"/>
          <w:sz w:val="24"/>
          <w:szCs w:val="24"/>
          <w:highlight w:val="none"/>
        </w:rPr>
        <w:t>分）,方可续签下一年度合同。</w:t>
      </w:r>
    </w:p>
    <w:p>
      <w:pPr>
        <w:rPr>
          <w:rFonts w:hint="eastAsia" w:ascii="宋体" w:hAnsi="宋体" w:cs="宋体"/>
          <w:color w:val="000000"/>
          <w:sz w:val="24"/>
          <w:szCs w:val="24"/>
          <w:highlight w:val="none"/>
        </w:rPr>
      </w:pPr>
    </w:p>
    <w:p>
      <w:pPr>
        <w:rPr>
          <w:rFonts w:hint="eastAsia" w:ascii="宋体" w:hAnsi="宋体" w:cs="宋体"/>
          <w:color w:val="000000"/>
          <w:sz w:val="24"/>
          <w:szCs w:val="24"/>
          <w:highlight w:val="none"/>
        </w:rPr>
      </w:pPr>
      <w:r>
        <w:rPr>
          <w:rFonts w:hint="eastAsia" w:ascii="宋体" w:hAnsi="宋体" w:cs="宋体"/>
          <w:color w:val="000000"/>
          <w:sz w:val="24"/>
          <w:szCs w:val="24"/>
          <w:highlight w:val="none"/>
        </w:rPr>
        <w:t>第二包：</w:t>
      </w:r>
    </w:p>
    <w:p>
      <w:pPr>
        <w:rPr>
          <w:rFonts w:ascii="宋体" w:hAnsi="宋体" w:cs="宋体"/>
          <w:color w:val="000000"/>
          <w:sz w:val="22"/>
          <w:szCs w:val="22"/>
          <w:highlight w:val="none"/>
        </w:rPr>
      </w:pPr>
      <w:r>
        <w:rPr>
          <w:rFonts w:hint="eastAsia" w:ascii="宋体" w:hAnsi="宋体" w:cs="宋体"/>
          <w:color w:val="000000"/>
          <w:sz w:val="24"/>
          <w:szCs w:val="24"/>
          <w:highlight w:val="none"/>
        </w:rPr>
        <w:t>1.果蔬</w:t>
      </w:r>
      <w:r>
        <w:rPr>
          <w:rFonts w:hint="eastAsia" w:ascii="宋体" w:hAnsi="宋体" w:cs="宋体"/>
          <w:color w:val="000000"/>
          <w:sz w:val="24"/>
          <w:szCs w:val="24"/>
          <w:highlight w:val="none"/>
          <w:lang w:val="en-US" w:eastAsia="zh-CN"/>
        </w:rPr>
        <w:t>供应服务</w:t>
      </w:r>
      <w:r>
        <w:rPr>
          <w:rFonts w:hint="eastAsia" w:ascii="宋体" w:hAnsi="宋体" w:cs="宋体"/>
          <w:color w:val="000000"/>
          <w:sz w:val="24"/>
          <w:szCs w:val="24"/>
          <w:highlight w:val="none"/>
        </w:rPr>
        <w:t>内容:</w:t>
      </w:r>
    </w:p>
    <w:tbl>
      <w:tblPr>
        <w:tblStyle w:val="10"/>
        <w:tblpPr w:leftFromText="180" w:rightFromText="180" w:vertAnchor="text" w:horzAnchor="page" w:tblpX="1081" w:tblpY="411"/>
        <w:tblOverlap w:val="never"/>
        <w:tblW w:w="5037" w:type="pct"/>
        <w:tblInd w:w="0" w:type="dxa"/>
        <w:tblLayout w:type="fixed"/>
        <w:tblCellMar>
          <w:top w:w="0" w:type="dxa"/>
          <w:left w:w="108" w:type="dxa"/>
          <w:bottom w:w="0" w:type="dxa"/>
          <w:right w:w="108" w:type="dxa"/>
        </w:tblCellMar>
      </w:tblPr>
      <w:tblGrid>
        <w:gridCol w:w="969"/>
        <w:gridCol w:w="2084"/>
        <w:gridCol w:w="6983"/>
      </w:tblGrid>
      <w:tr>
        <w:tblPrEx>
          <w:tblCellMar>
            <w:top w:w="0" w:type="dxa"/>
            <w:left w:w="108" w:type="dxa"/>
            <w:bottom w:w="0" w:type="dxa"/>
            <w:right w:w="108" w:type="dxa"/>
          </w:tblCellMar>
        </w:tblPrEx>
        <w:trPr>
          <w:trHeight w:val="90" w:hRule="atLeast"/>
        </w:trPr>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序号</w:t>
            </w:r>
          </w:p>
        </w:tc>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b/>
                <w:bCs/>
                <w:color w:val="000000"/>
                <w:sz w:val="21"/>
                <w:szCs w:val="21"/>
                <w:highlight w:val="none"/>
              </w:rPr>
            </w:pPr>
            <w:r>
              <w:rPr>
                <w:rStyle w:val="18"/>
                <w:rFonts w:hint="eastAsia" w:ascii="宋体" w:hAnsi="宋体" w:eastAsia="宋体" w:cs="宋体"/>
                <w:b/>
                <w:bCs/>
                <w:sz w:val="21"/>
                <w:szCs w:val="21"/>
                <w:highlight w:val="none"/>
                <w:lang w:val="en-US" w:eastAsia="zh-CN"/>
              </w:rPr>
              <w:t>标的</w:t>
            </w:r>
            <w:r>
              <w:rPr>
                <w:rStyle w:val="18"/>
                <w:rFonts w:hint="eastAsia" w:ascii="宋体" w:hAnsi="宋体" w:eastAsia="宋体" w:cs="宋体"/>
                <w:b/>
                <w:bCs/>
                <w:sz w:val="21"/>
                <w:szCs w:val="21"/>
                <w:highlight w:val="none"/>
              </w:rPr>
              <w:t>名称</w:t>
            </w:r>
          </w:p>
        </w:tc>
        <w:tc>
          <w:tcPr>
            <w:tcW w:w="347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b/>
                <w:bCs/>
                <w:color w:val="000000"/>
                <w:sz w:val="21"/>
                <w:szCs w:val="21"/>
                <w:highlight w:val="none"/>
                <w:lang w:val="en-US" w:eastAsia="zh-CN"/>
              </w:rPr>
            </w:pPr>
            <w:r>
              <w:rPr>
                <w:rStyle w:val="17"/>
                <w:rFonts w:hint="eastAsia" w:ascii="宋体" w:hAnsi="宋体" w:eastAsia="宋体" w:cs="宋体"/>
                <w:b/>
                <w:bCs/>
                <w:sz w:val="21"/>
                <w:szCs w:val="21"/>
                <w:highlight w:val="none"/>
                <w:lang w:val="en-US" w:eastAsia="zh-CN"/>
              </w:rPr>
              <w:t>技术参数与性能指标</w:t>
            </w:r>
          </w:p>
        </w:tc>
      </w:tr>
      <w:tr>
        <w:tblPrEx>
          <w:tblCellMar>
            <w:top w:w="0" w:type="dxa"/>
            <w:left w:w="108" w:type="dxa"/>
            <w:bottom w:w="0" w:type="dxa"/>
            <w:right w:w="108" w:type="dxa"/>
          </w:tblCellMar>
        </w:tblPrEx>
        <w:trPr>
          <w:trHeight w:val="975" w:hRule="atLeast"/>
        </w:trPr>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水果类</w:t>
            </w:r>
          </w:p>
        </w:tc>
        <w:tc>
          <w:tcPr>
            <w:tcW w:w="3478"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9"/>
              <w:numPr>
                <w:ilvl w:val="0"/>
                <w:numId w:val="4"/>
              </w:numPr>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质量标准：</w:t>
            </w:r>
            <w:r>
              <w:rPr>
                <w:rFonts w:hint="eastAsia" w:ascii="宋体" w:hAnsi="宋体" w:eastAsia="宋体" w:cs="宋体"/>
                <w:sz w:val="21"/>
                <w:szCs w:val="21"/>
                <w:highlight w:val="none"/>
              </w:rPr>
              <w:t>供货时提供每批次供应商自行检测的农残检测报告，符合GB 2763-2021《食品安全国家标准 食品中农药最大残留限量》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GB 2763.1-2022《食品安全国家标准 食品中2,4-滴丁酸钠盐等112种农药最大残留限量》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GB 2762-2022/XG1-2025</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《食品安全国家标准 食品中污染物限量（含第1号修改单）》</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r>
              <w:rPr>
                <w:rFonts w:hint="eastAsia" w:ascii="宋体" w:hAnsi="宋体" w:eastAsia="宋体" w:cs="宋体"/>
                <w:sz w:val="21"/>
                <w:szCs w:val="21"/>
                <w:highlight w:val="none"/>
              </w:rPr>
              <w:t>农药残留及重金属不得超标，不得含有国家全面禁止使用的农药成份。采购人随机抽检。</w:t>
            </w:r>
          </w:p>
          <w:p>
            <w:pPr>
              <w:numPr>
                <w:ilvl w:val="0"/>
                <w:numId w:val="4"/>
              </w:numPr>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质量要求：</w:t>
            </w:r>
            <w:r>
              <w:rPr>
                <w:rFonts w:hint="eastAsia" w:ascii="宋体" w:hAnsi="宋体" w:eastAsia="宋体" w:cs="宋体"/>
                <w:sz w:val="21"/>
                <w:szCs w:val="21"/>
                <w:highlight w:val="none"/>
              </w:rPr>
              <w:t>外观良好，个体整齐，色泽正常，瓜肉坚实，表皮无损伤、无病斑或烂斑，无裂口，无折断，无压痕，无异味，不发软皱缩，农药残留不超限量。具有该品种特有的清香或果香，无异味（如酸味、馊味、酒精味等）；口感正常，无过生、过熟导致的软烂或生硬现象，多汁类水果汁水充足，核果类果核完整易分离。</w:t>
            </w:r>
          </w:p>
          <w:p>
            <w:pPr>
              <w:numPr>
                <w:ilvl w:val="0"/>
                <w:numId w:val="0"/>
              </w:numPr>
              <w:ind w:left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（3）储存运输：包装运输符合GB/T33129-2016《新鲜水果 、蔬菜包装和冷链运输通用操作规程》，</w:t>
            </w:r>
            <w:r>
              <w:rPr>
                <w:rFonts w:hint="eastAsia" w:ascii="宋体" w:hAnsi="宋体" w:eastAsia="宋体" w:cs="宋体"/>
                <w:sz w:val="21"/>
                <w:szCs w:val="21"/>
                <w:highlight w:val="none"/>
              </w:rPr>
              <w:t>无二次污染。采用洁净、透气、防潮的食品级包装材料</w:t>
            </w:r>
            <w:r>
              <w:rPr>
                <w:rFonts w:hint="eastAsia" w:ascii="宋体" w:hAnsi="宋体" w:eastAsia="宋体" w:cs="宋体"/>
                <w:sz w:val="21"/>
                <w:szCs w:val="21"/>
                <w:highlight w:val="none"/>
                <w:lang w:eastAsia="zh-CN"/>
              </w:rPr>
              <w:t>。</w:t>
            </w:r>
          </w:p>
        </w:tc>
      </w:tr>
      <w:tr>
        <w:tblPrEx>
          <w:tblCellMar>
            <w:top w:w="0" w:type="dxa"/>
            <w:left w:w="108" w:type="dxa"/>
            <w:bottom w:w="0" w:type="dxa"/>
            <w:right w:w="108" w:type="dxa"/>
          </w:tblCellMar>
        </w:tblPrEx>
        <w:trPr>
          <w:trHeight w:val="544" w:hRule="atLeast"/>
        </w:trPr>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w:t>
            </w:r>
          </w:p>
        </w:tc>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蔬菜类</w:t>
            </w:r>
          </w:p>
        </w:tc>
        <w:tc>
          <w:tcPr>
            <w:tcW w:w="3478"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9"/>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（1）质量标准：</w:t>
            </w:r>
            <w:r>
              <w:rPr>
                <w:rFonts w:hint="eastAsia" w:ascii="宋体" w:hAnsi="宋体" w:eastAsia="宋体" w:cs="宋体"/>
                <w:sz w:val="21"/>
                <w:szCs w:val="21"/>
                <w:highlight w:val="none"/>
              </w:rPr>
              <w:t>供货时提供每批次供应商自行检测的农残检测报告，</w:t>
            </w:r>
            <w:r>
              <w:rPr>
                <w:rFonts w:hint="eastAsia" w:ascii="宋体" w:hAnsi="宋体" w:eastAsia="宋体" w:cs="宋体"/>
                <w:sz w:val="21"/>
                <w:szCs w:val="21"/>
                <w:highlight w:val="none"/>
                <w:lang w:val="en-US" w:eastAsia="zh-CN"/>
              </w:rPr>
              <w:t>符合</w:t>
            </w:r>
            <w:r>
              <w:rPr>
                <w:rFonts w:hint="eastAsia" w:ascii="宋体" w:hAnsi="宋体" w:eastAsia="宋体" w:cs="宋体"/>
                <w:sz w:val="21"/>
                <w:szCs w:val="21"/>
                <w:highlight w:val="none"/>
              </w:rPr>
              <w:t>GB 2763-2021《食品安全国家标准 食品中农药最大残留限量》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GB 2763.1-2022《食品安全国家标准 食品中2,4-滴丁酸钠盐等112种农药最大残留限量》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GB 2762-2022/XG1-2025</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《食品安全国家标准 食品中污染物限量（含第1号修改单）》</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r>
              <w:rPr>
                <w:rFonts w:hint="eastAsia" w:ascii="宋体" w:hAnsi="宋体" w:eastAsia="宋体" w:cs="宋体"/>
                <w:sz w:val="21"/>
                <w:szCs w:val="21"/>
                <w:highlight w:val="none"/>
              </w:rPr>
              <w:t>农药残留及重金属不得超标，不得含有国家全面禁止使用的农药成分。</w:t>
            </w:r>
          </w:p>
          <w:p>
            <w:pPr>
              <w:pStyle w:val="19"/>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质量要求：</w:t>
            </w:r>
          </w:p>
          <w:p>
            <w:pPr>
              <w:pStyle w:val="19"/>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①</w:t>
            </w:r>
            <w:r>
              <w:rPr>
                <w:rFonts w:hint="eastAsia" w:ascii="宋体" w:hAnsi="宋体" w:eastAsia="宋体" w:cs="宋体"/>
                <w:sz w:val="21"/>
                <w:szCs w:val="21"/>
                <w:highlight w:val="none"/>
              </w:rPr>
              <w:t>叶菜类：鲜嫩，无枯黄叶，无花斑叶，无烂叶；叶茎完整无折断，基部不老化，干爽无水；无裂口损伤，表面无泥土及其它杂物，无明显机械伤和病虫害伤，无烧心焦边、腐烂现象，无抽苔（菜心除外），无畸形、异味，结球叶菜要结球适度，花椰菜应新鲜洁白，不带叶麸，无畸形花，农药残留不超限量。</w:t>
            </w:r>
          </w:p>
          <w:p>
            <w:pPr>
              <w:pStyle w:val="19"/>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②</w:t>
            </w:r>
            <w:r>
              <w:rPr>
                <w:rFonts w:hint="eastAsia" w:ascii="宋体" w:hAnsi="宋体" w:eastAsia="宋体" w:cs="宋体"/>
                <w:sz w:val="21"/>
                <w:szCs w:val="21"/>
                <w:highlight w:val="none"/>
              </w:rPr>
              <w:t>根茎类：个体均匀，根形完整，无畸形，无泥土，无虫蛀和机械伤，无腐烂， 无断折、断裂，不萎蔫变软，不发芽，不变绿，不空心，不糠心，不黑心，弹击有实心感，农药残留不超限量。</w:t>
            </w:r>
          </w:p>
          <w:p>
            <w:pPr>
              <w:pStyle w:val="19"/>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③</w:t>
            </w:r>
            <w:r>
              <w:rPr>
                <w:rFonts w:hint="eastAsia" w:ascii="宋体" w:hAnsi="宋体" w:eastAsia="宋体" w:cs="宋体"/>
                <w:sz w:val="21"/>
                <w:szCs w:val="21"/>
                <w:highlight w:val="none"/>
              </w:rPr>
              <w:t>芽苗类：鲜嫩、无老叶、无花斑黄叶，根部切口新鲜，茎叶完整，无腐烂现象， 农药残留不超限量。</w:t>
            </w:r>
          </w:p>
          <w:p>
            <w:pPr>
              <w:pStyle w:val="19"/>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④</w:t>
            </w:r>
            <w:r>
              <w:rPr>
                <w:rFonts w:hint="eastAsia" w:ascii="宋体" w:hAnsi="宋体" w:eastAsia="宋体" w:cs="宋体"/>
                <w:sz w:val="21"/>
                <w:szCs w:val="21"/>
                <w:highlight w:val="none"/>
              </w:rPr>
              <w:t>菌类：色泽与其品种相适应，气味正常；无腐烂及虫蛀株，无发霉，无失水枯萎，朵片完整，手轻捏不能有水渗出为宜。</w:t>
            </w:r>
          </w:p>
          <w:p>
            <w:pPr>
              <w:pStyle w:val="19"/>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⑤</w:t>
            </w:r>
            <w:r>
              <w:rPr>
                <w:rFonts w:hint="eastAsia" w:ascii="宋体" w:hAnsi="宋体" w:eastAsia="宋体" w:cs="宋体"/>
                <w:sz w:val="21"/>
                <w:szCs w:val="21"/>
                <w:highlight w:val="none"/>
              </w:rPr>
              <w:t>花果类（如西兰花、白花菜）：无虫害、饱满、成熟度良好，新鲜固有的色泽鲜明，无发霉发黄，农药残留不超限量。</w:t>
            </w:r>
          </w:p>
          <w:p>
            <w:pPr>
              <w:pStyle w:val="19"/>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⑥</w:t>
            </w:r>
            <w:r>
              <w:rPr>
                <w:rFonts w:hint="eastAsia" w:ascii="宋体" w:hAnsi="宋体" w:eastAsia="宋体" w:cs="宋体"/>
                <w:sz w:val="21"/>
                <w:szCs w:val="21"/>
                <w:highlight w:val="none"/>
              </w:rPr>
              <w:t>瓜果类：外表光亮无斑点，有新鲜连接的秧叶，形状正常、大小均匀，无软塌，成熟度适度。无腐烂，无污染，清洁、新鲜，无异味、无病虫损害。农药残留不超限量。</w:t>
            </w:r>
          </w:p>
          <w:p>
            <w:pPr>
              <w:pStyle w:val="19"/>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（3）储存运输：</w:t>
            </w:r>
            <w:r>
              <w:rPr>
                <w:rFonts w:hint="eastAsia" w:ascii="宋体" w:hAnsi="宋体" w:eastAsia="宋体" w:cs="宋体"/>
                <w:sz w:val="21"/>
                <w:szCs w:val="21"/>
                <w:highlight w:val="none"/>
              </w:rPr>
              <w:t>蔬菜按需求配送，每天送货时提供当批次农残检测报告，采购人随机抽检。</w:t>
            </w:r>
          </w:p>
        </w:tc>
      </w:tr>
      <w:tr>
        <w:tblPrEx>
          <w:tblCellMar>
            <w:top w:w="0" w:type="dxa"/>
            <w:left w:w="108" w:type="dxa"/>
            <w:bottom w:w="0" w:type="dxa"/>
            <w:right w:w="108" w:type="dxa"/>
          </w:tblCellMar>
        </w:tblPrEx>
        <w:trPr>
          <w:trHeight w:val="975" w:hRule="atLeast"/>
        </w:trPr>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w:t>
            </w:r>
          </w:p>
        </w:tc>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豆制品</w:t>
            </w:r>
          </w:p>
        </w:tc>
        <w:tc>
          <w:tcPr>
            <w:tcW w:w="3478" w:type="pct"/>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5"/>
              </w:num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质量标准：</w:t>
            </w:r>
            <w:r>
              <w:rPr>
                <w:rFonts w:hint="eastAsia" w:ascii="宋体" w:hAnsi="宋体" w:eastAsia="宋体" w:cs="宋体"/>
                <w:sz w:val="21"/>
                <w:szCs w:val="21"/>
                <w:highlight w:val="none"/>
              </w:rPr>
              <w:t>符合GB 2712-2014《食品安全国家标准 豆制品》</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GB/T 22106-2008 《非发酵豆制品》</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p>
          <w:p>
            <w:pPr>
              <w:numPr>
                <w:ilvl w:val="0"/>
                <w:numId w:val="5"/>
              </w:numPr>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质量要求：</w:t>
            </w:r>
            <w:r>
              <w:rPr>
                <w:rFonts w:hint="eastAsia" w:ascii="宋体" w:hAnsi="宋体" w:eastAsia="宋体" w:cs="宋体"/>
                <w:sz w:val="21"/>
                <w:szCs w:val="21"/>
                <w:highlight w:val="none"/>
              </w:rPr>
              <w:t>产品形态完整、规整，无破损、变形、粘连现象；色泽均匀，具有该品种豆制品固有的色泽（如豆腐洁白或乳白色、豆浆乳白色、腐竹淡黄色、豆干浅褐色），无霉点、黑斑、异色斑点。豆腐类质地细嫩、有弹性，无蜂窝状空洞、无松散现象；豆干类质地紧实、有嚼劲，无过硬或过软发黏现象；腐竹类质地干燥、柔韧，无碎渣、无回潮变软现象；豆浆质地均匀、无分层、无沉淀。具有豆制品特有的豆香味，无异味（如酸味、馊味、腐败味、碱味过重等）；口感纯正，豆腐滑嫩、豆干筋道、豆浆醇厚无渣。</w:t>
            </w:r>
          </w:p>
          <w:p>
            <w:pPr>
              <w:numPr>
                <w:ilvl w:val="0"/>
                <w:numId w:val="5"/>
              </w:numPr>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运输保障：鲜制豆制品（豆腐）生产后至送达时间不超过12小时，全程冷链运输（温度0-4℃）；干制豆制品（腐竹、干豆干）保质期内无回潮、霉变，运输过程防潮、避光。鲜制豆制品采用食品级密封包装（如保鲜盒、真空包装袋）</w:t>
            </w:r>
            <w:r>
              <w:rPr>
                <w:rFonts w:hint="eastAsia" w:ascii="宋体" w:hAnsi="宋体" w:cs="宋体"/>
                <w:sz w:val="21"/>
                <w:szCs w:val="21"/>
                <w:highlight w:val="none"/>
                <w:lang w:val="en-US" w:eastAsia="zh-CN"/>
              </w:rPr>
              <w:t>。</w:t>
            </w:r>
          </w:p>
        </w:tc>
      </w:tr>
    </w:tbl>
    <w:p>
      <w:pPr>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人员配置：供应方须就该项目配置固定的业务联络人和配送人员，配送人员须持有有效的健康证。</w:t>
      </w:r>
    </w:p>
    <w:p>
      <w:pPr>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设施设备配置：食品专用冷藏配送车辆2辆，封闭式食品配送车辆2辆。</w:t>
      </w:r>
    </w:p>
    <w:p>
      <w:pPr>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其他要求（包括采购标的需执行的国家相关标准、行业标准、地方标准或者其他标准、规范等）：</w:t>
      </w:r>
    </w:p>
    <w:p>
      <w:pPr>
        <w:rPr>
          <w:rFonts w:ascii="宋体" w:hAnsi="宋体" w:cs="宋体"/>
          <w:color w:val="000000"/>
          <w:sz w:val="24"/>
          <w:szCs w:val="24"/>
          <w:highlight w:val="none"/>
        </w:rPr>
      </w:pPr>
      <w:r>
        <w:rPr>
          <w:rFonts w:hint="eastAsia" w:ascii="宋体" w:hAnsi="宋体" w:cs="宋体"/>
          <w:bCs/>
          <w:sz w:val="24"/>
          <w:szCs w:val="24"/>
          <w:highlight w:val="none"/>
        </w:rPr>
        <w:t>★</w:t>
      </w:r>
      <w:r>
        <w:rPr>
          <w:rFonts w:hint="eastAsia" w:ascii="宋体" w:hAnsi="宋体" w:cs="宋体"/>
          <w:color w:val="000000"/>
          <w:sz w:val="24"/>
          <w:szCs w:val="24"/>
          <w:highlight w:val="none"/>
          <w:lang w:val="en-US" w:eastAsia="zh-CN"/>
        </w:rPr>
        <w:t>4.1.</w:t>
      </w:r>
      <w:r>
        <w:rPr>
          <w:rFonts w:hint="eastAsia" w:ascii="宋体" w:hAnsi="宋体" w:cs="宋体"/>
          <w:color w:val="000000"/>
          <w:sz w:val="24"/>
          <w:szCs w:val="24"/>
          <w:highlight w:val="none"/>
        </w:rPr>
        <w:t>供货行为与供货内容应符合《中华人民共和国食品安全法》</w:t>
      </w:r>
      <w:r>
        <w:rPr>
          <w:rFonts w:hint="eastAsia" w:ascii="宋体" w:hAnsi="宋体" w:cs="宋体"/>
          <w:color w:val="000000"/>
          <w:sz w:val="24"/>
          <w:szCs w:val="24"/>
          <w:highlight w:val="none"/>
          <w:lang w:val="en-US" w:eastAsia="zh-CN"/>
        </w:rPr>
        <w:t>及实施条例</w:t>
      </w:r>
      <w:r>
        <w:rPr>
          <w:rFonts w:hint="eastAsia" w:ascii="宋体" w:hAnsi="宋体" w:cs="宋体"/>
          <w:color w:val="000000"/>
          <w:sz w:val="24"/>
          <w:szCs w:val="24"/>
          <w:highlight w:val="none"/>
        </w:rPr>
        <w:t>。</w:t>
      </w:r>
    </w:p>
    <w:p>
      <w:pPr>
        <w:rPr>
          <w:rFonts w:ascii="宋体" w:hAnsi="宋体" w:cs="宋体"/>
          <w:color w:val="000000"/>
          <w:sz w:val="24"/>
          <w:szCs w:val="24"/>
          <w:highlight w:val="none"/>
        </w:rPr>
      </w:pPr>
      <w:r>
        <w:rPr>
          <w:rFonts w:hint="eastAsia" w:ascii="宋体" w:hAnsi="宋体" w:cs="宋体"/>
          <w:bCs/>
          <w:sz w:val="24"/>
          <w:szCs w:val="24"/>
          <w:highlight w:val="none"/>
        </w:rPr>
        <w:t>★</w:t>
      </w:r>
      <w:r>
        <w:rPr>
          <w:rFonts w:hint="eastAsia" w:ascii="宋体" w:hAnsi="宋体" w:cs="宋体"/>
          <w:color w:val="000000"/>
          <w:sz w:val="24"/>
          <w:szCs w:val="24"/>
          <w:highlight w:val="none"/>
          <w:lang w:val="en-US" w:eastAsia="zh-CN"/>
        </w:rPr>
        <w:t>4.2</w:t>
      </w:r>
      <w:r>
        <w:rPr>
          <w:rFonts w:hint="eastAsia" w:ascii="宋体" w:hAnsi="宋体" w:cs="宋体"/>
          <w:color w:val="000000"/>
          <w:sz w:val="24"/>
          <w:szCs w:val="24"/>
          <w:highlight w:val="none"/>
        </w:rPr>
        <w:t>所供食品应包含但不限于符合以下国家现行食品安全标准:</w:t>
      </w:r>
    </w:p>
    <w:p>
      <w:pPr>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4.2.1.</w:t>
      </w:r>
      <w:r>
        <w:rPr>
          <w:rFonts w:hint="eastAsia" w:ascii="宋体" w:hAnsi="宋体" w:cs="宋体"/>
          <w:color w:val="000000"/>
          <w:sz w:val="24"/>
          <w:szCs w:val="24"/>
          <w:highlight w:val="none"/>
        </w:rPr>
        <w:t>食品中真菌毒素限量应符合GB 2761-2017 《食品安全国家标准 食品中真菌毒素限量》相关规定。</w:t>
      </w:r>
    </w:p>
    <w:p>
      <w:pPr>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4.2.2.</w:t>
      </w:r>
      <w:r>
        <w:rPr>
          <w:rFonts w:hint="eastAsia" w:ascii="宋体" w:hAnsi="宋体" w:cs="宋体"/>
          <w:color w:val="000000"/>
          <w:sz w:val="24"/>
          <w:szCs w:val="24"/>
          <w:highlight w:val="none"/>
        </w:rPr>
        <w:t>食品中污染物限量应符合GB 2762-2022/XG1-2025《 食品安全国家标准 食品中污染物限量（含第1号修改单）》相关规定。</w:t>
      </w:r>
    </w:p>
    <w:p>
      <w:pPr>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4.2.3.</w:t>
      </w:r>
      <w:r>
        <w:rPr>
          <w:rFonts w:hint="eastAsia" w:ascii="宋体" w:hAnsi="宋体" w:cs="宋体"/>
          <w:color w:val="000000"/>
          <w:sz w:val="24"/>
          <w:szCs w:val="24"/>
          <w:highlight w:val="none"/>
        </w:rPr>
        <w:t>农药最大残留限</w:t>
      </w:r>
      <w:r>
        <w:rPr>
          <w:rFonts w:hint="eastAsia" w:ascii="宋体" w:hAnsi="宋体" w:cs="宋体"/>
          <w:color w:val="000000"/>
          <w:sz w:val="24"/>
          <w:szCs w:val="24"/>
          <w:highlight w:val="none"/>
          <w:lang w:val="en-US" w:eastAsia="zh-CN"/>
        </w:rPr>
        <w:t>量</w:t>
      </w:r>
      <w:r>
        <w:rPr>
          <w:rFonts w:hint="eastAsia" w:ascii="宋体" w:hAnsi="宋体" w:cs="宋体"/>
          <w:color w:val="000000"/>
          <w:sz w:val="24"/>
          <w:szCs w:val="24"/>
          <w:highlight w:val="none"/>
        </w:rPr>
        <w:t>应符合《GB 2763-</w:t>
      </w:r>
      <w:r>
        <w:rPr>
          <w:rFonts w:hint="eastAsia" w:ascii="宋体" w:hAnsi="宋体" w:cs="宋体"/>
          <w:color w:val="000000" w:themeColor="text1"/>
          <w:sz w:val="24"/>
          <w:szCs w:val="24"/>
          <w:highlight w:val="none"/>
          <w14:textFill>
            <w14:solidFill>
              <w14:schemeClr w14:val="tx1"/>
            </w14:solidFill>
          </w14:textFill>
        </w:rPr>
        <w:t>2021</w:t>
      </w:r>
      <w:r>
        <w:rPr>
          <w:rFonts w:hint="eastAsia" w:ascii="宋体" w:hAnsi="宋体" w:cs="宋体"/>
          <w:color w:val="FF0000"/>
          <w:sz w:val="24"/>
          <w:szCs w:val="24"/>
          <w:highlight w:val="none"/>
        </w:rPr>
        <w:t xml:space="preserve"> </w:t>
      </w:r>
      <w:r>
        <w:rPr>
          <w:rFonts w:hint="eastAsia" w:ascii="宋体" w:hAnsi="宋体" w:cs="宋体"/>
          <w:color w:val="000000"/>
          <w:sz w:val="24"/>
          <w:szCs w:val="24"/>
          <w:highlight w:val="none"/>
        </w:rPr>
        <w:t>食品安全国家标准 食品中农药最大残留限量》相关规定。</w:t>
      </w:r>
    </w:p>
    <w:p>
      <w:pPr>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4.2.4.</w:t>
      </w:r>
      <w:r>
        <w:rPr>
          <w:rFonts w:hint="eastAsia" w:ascii="宋体" w:hAnsi="宋体" w:cs="宋体"/>
          <w:color w:val="000000"/>
          <w:sz w:val="24"/>
          <w:szCs w:val="24"/>
          <w:highlight w:val="none"/>
        </w:rPr>
        <w:t>以上法规标准如有变化时，按最新标准执行。</w:t>
      </w:r>
    </w:p>
    <w:p>
      <w:pPr>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5.日常食材配送的具体品种和数量，均以采购人下达的订单执行。</w:t>
      </w:r>
    </w:p>
    <w:p>
      <w:pP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bCs/>
          <w:sz w:val="24"/>
          <w:szCs w:val="24"/>
          <w:highlight w:val="none"/>
        </w:rPr>
        <w:t>★</w:t>
      </w:r>
      <w:r>
        <w:rPr>
          <w:rFonts w:hint="eastAsia" w:ascii="宋体" w:hAnsi="宋体" w:cs="宋体"/>
          <w:color w:val="000000" w:themeColor="text1"/>
          <w:sz w:val="24"/>
          <w:szCs w:val="24"/>
          <w:highlight w:val="none"/>
          <w:lang w:val="en-US" w:eastAsia="zh-CN"/>
          <w14:textFill>
            <w14:solidFill>
              <w14:schemeClr w14:val="tx1"/>
            </w14:solidFill>
          </w14:textFill>
        </w:rPr>
        <w:t>6.定价方式：</w:t>
      </w:r>
    </w:p>
    <w:p>
      <w:pP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6.1.</w:t>
      </w:r>
      <w:r>
        <w:rPr>
          <w:rFonts w:hint="eastAsia" w:ascii="宋体" w:hAnsi="宋体" w:cs="宋体"/>
          <w:color w:val="000000" w:themeColor="text1"/>
          <w:sz w:val="24"/>
          <w:szCs w:val="24"/>
          <w:highlight w:val="none"/>
          <w14:textFill>
            <w14:solidFill>
              <w14:schemeClr w14:val="tx1"/>
            </w14:solidFill>
          </w14:textFill>
        </w:rPr>
        <w:t>本项目</w:t>
      </w:r>
      <w:r>
        <w:rPr>
          <w:rFonts w:hint="eastAsia" w:ascii="宋体" w:hAnsi="宋体" w:cs="宋体"/>
          <w:color w:val="000000" w:themeColor="text1"/>
          <w:sz w:val="24"/>
          <w:szCs w:val="24"/>
          <w:highlight w:val="none"/>
          <w:lang w:val="en-US" w:eastAsia="zh-CN"/>
          <w14:textFill>
            <w14:solidFill>
              <w14:schemeClr w14:val="tx1"/>
            </w14:solidFill>
          </w14:textFill>
        </w:rPr>
        <w:t>供应商统一以结算率</w:t>
      </w:r>
      <w:r>
        <w:rPr>
          <w:rFonts w:hint="eastAsia" w:ascii="宋体" w:hAnsi="宋体" w:cs="宋体"/>
          <w:color w:val="000000" w:themeColor="text1"/>
          <w:sz w:val="24"/>
          <w:szCs w:val="24"/>
          <w:highlight w:val="none"/>
          <w14:textFill>
            <w14:solidFill>
              <w14:schemeClr w14:val="tx1"/>
            </w14:solidFill>
          </w14:textFill>
        </w:rPr>
        <w:t>报价</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以百分比表示，</w:t>
      </w:r>
      <w:r>
        <w:rPr>
          <w:rFonts w:hint="eastAsia" w:ascii="宋体" w:hAnsi="宋体" w:cs="宋体"/>
          <w:color w:val="000000" w:themeColor="text1"/>
          <w:sz w:val="24"/>
          <w:szCs w:val="24"/>
          <w:highlight w:val="none"/>
          <w14:textFill>
            <w14:solidFill>
              <w14:schemeClr w14:val="tx1"/>
            </w14:solidFill>
          </w14:textFill>
        </w:rPr>
        <w:t>百分比精确到小数点后两位)</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结算</w:t>
      </w:r>
      <w:r>
        <w:rPr>
          <w:rFonts w:hint="eastAsia" w:ascii="宋体" w:hAnsi="宋体" w:cs="宋体"/>
          <w:color w:val="000000" w:themeColor="text1"/>
          <w:sz w:val="24"/>
          <w:szCs w:val="24"/>
          <w:highlight w:val="none"/>
          <w14:textFill>
            <w14:solidFill>
              <w14:schemeClr w14:val="tx1"/>
            </w14:solidFill>
          </w14:textFill>
        </w:rPr>
        <w:t>率存在负数、超过百分之百或有多个报价（</w:t>
      </w:r>
      <w:r>
        <w:rPr>
          <w:rFonts w:hint="eastAsia" w:ascii="宋体" w:hAnsi="宋体" w:cs="宋体"/>
          <w:color w:val="000000" w:themeColor="text1"/>
          <w:sz w:val="24"/>
          <w:szCs w:val="24"/>
          <w:highlight w:val="none"/>
          <w:lang w:val="en-US" w:eastAsia="zh-CN"/>
          <w14:textFill>
            <w14:solidFill>
              <w14:schemeClr w14:val="tx1"/>
            </w14:solidFill>
          </w14:textFill>
        </w:rPr>
        <w:t>结算</w:t>
      </w:r>
      <w:r>
        <w:rPr>
          <w:rFonts w:hint="eastAsia" w:ascii="宋体" w:hAnsi="宋体" w:cs="宋体"/>
          <w:color w:val="000000" w:themeColor="text1"/>
          <w:sz w:val="24"/>
          <w:szCs w:val="24"/>
          <w:highlight w:val="none"/>
          <w14:textFill>
            <w14:solidFill>
              <w14:schemeClr w14:val="tx1"/>
            </w14:solidFill>
          </w14:textFill>
        </w:rPr>
        <w:t>率）的情形，投标文件按无效处理。</w:t>
      </w:r>
      <w:r>
        <w:rPr>
          <w:rFonts w:hint="eastAsia" w:ascii="宋体" w:hAnsi="宋体" w:cs="宋体"/>
          <w:color w:val="000000" w:themeColor="text1"/>
          <w:sz w:val="24"/>
          <w:szCs w:val="24"/>
          <w:highlight w:val="none"/>
          <w:lang w:val="en-US" w:eastAsia="zh-CN"/>
          <w14:textFill>
            <w14:solidFill>
              <w14:schemeClr w14:val="tx1"/>
            </w14:solidFill>
          </w14:textFill>
        </w:rPr>
        <w:t>供应商的报价是响应本项目要求的全部工作内容的价格体现，包括供应商完成本项目所需的人工劳务、货物成本、包装、运输、装卸、保险以及</w:t>
      </w:r>
      <w:r>
        <w:rPr>
          <w:rFonts w:hint="eastAsia" w:ascii="宋体" w:hAnsi="宋体" w:cs="宋体"/>
          <w:color w:val="000000" w:themeColor="text1"/>
          <w:sz w:val="24"/>
          <w:szCs w:val="24"/>
          <w:highlight w:val="none"/>
          <w14:textFill>
            <w14:solidFill>
              <w14:schemeClr w14:val="tx1"/>
            </w14:solidFill>
          </w14:textFill>
        </w:rPr>
        <w:t>合同实施过程可预见及不可预见费用等</w:t>
      </w:r>
      <w:r>
        <w:rPr>
          <w:rFonts w:hint="eastAsia" w:ascii="宋体" w:hAnsi="宋体" w:cs="宋体"/>
          <w:color w:val="000000" w:themeColor="text1"/>
          <w:sz w:val="24"/>
          <w:szCs w:val="24"/>
          <w:highlight w:val="none"/>
          <w:lang w:val="en-US" w:eastAsia="zh-CN"/>
          <w14:textFill>
            <w14:solidFill>
              <w14:schemeClr w14:val="tx1"/>
            </w14:solidFill>
          </w14:textFill>
        </w:rPr>
        <w:t>一切成本和费用。</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6.2.</w:t>
      </w:r>
      <w:r>
        <w:rPr>
          <w:rFonts w:hint="eastAsia" w:ascii="宋体" w:hAnsi="宋体" w:cs="宋体"/>
          <w:color w:val="000000" w:themeColor="text1"/>
          <w:sz w:val="24"/>
          <w:szCs w:val="24"/>
          <w:highlight w:val="none"/>
          <w14:textFill>
            <w14:solidFill>
              <w14:schemeClr w14:val="tx1"/>
            </w14:solidFill>
          </w14:textFill>
        </w:rPr>
        <w:t>结算价的确定：结算价=供货基准价*</w:t>
      </w:r>
      <w:r>
        <w:rPr>
          <w:rFonts w:hint="eastAsia" w:ascii="宋体" w:hAnsi="宋体" w:cs="宋体"/>
          <w:color w:val="000000" w:themeColor="text1"/>
          <w:sz w:val="24"/>
          <w:szCs w:val="24"/>
          <w:highlight w:val="none"/>
          <w:lang w:val="en-US" w:eastAsia="zh-CN"/>
          <w14:textFill>
            <w14:solidFill>
              <w14:schemeClr w14:val="tx1"/>
            </w14:solidFill>
          </w14:textFill>
        </w:rPr>
        <w:t>结算</w:t>
      </w:r>
      <w:r>
        <w:rPr>
          <w:rFonts w:hint="eastAsia" w:ascii="宋体" w:hAnsi="宋体" w:cs="宋体"/>
          <w:color w:val="000000" w:themeColor="text1"/>
          <w:sz w:val="24"/>
          <w:szCs w:val="24"/>
          <w:highlight w:val="none"/>
          <w14:textFill>
            <w14:solidFill>
              <w14:schemeClr w14:val="tx1"/>
            </w14:solidFill>
          </w14:textFill>
        </w:rPr>
        <w:t>率</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计算结果按四舍五入处理，保留两位小数</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举例说明：假设采购人采购</w:t>
      </w:r>
      <w:r>
        <w:rPr>
          <w:rFonts w:hint="eastAsia" w:ascii="宋体" w:hAnsi="宋体" w:cs="宋体"/>
          <w:color w:val="000000" w:themeColor="text1"/>
          <w:sz w:val="24"/>
          <w:szCs w:val="24"/>
          <w:highlight w:val="none"/>
          <w:lang w:val="en-US" w:eastAsia="zh-CN"/>
          <w14:textFill>
            <w14:solidFill>
              <w14:schemeClr w14:val="tx1"/>
            </w14:solidFill>
          </w14:textFill>
        </w:rPr>
        <w:t>大白菜，</w:t>
      </w:r>
      <w:r>
        <w:rPr>
          <w:rFonts w:hint="eastAsia" w:ascii="宋体" w:hAnsi="宋体" w:cs="宋体"/>
          <w:color w:val="000000" w:themeColor="text1"/>
          <w:sz w:val="24"/>
          <w:szCs w:val="24"/>
          <w:highlight w:val="none"/>
          <w14:textFill>
            <w14:solidFill>
              <w14:schemeClr w14:val="tx1"/>
            </w14:solidFill>
          </w14:textFill>
        </w:rPr>
        <w:t>依据双方确定的基准价</w:t>
      </w:r>
      <w:r>
        <w:rPr>
          <w:rFonts w:hint="eastAsia" w:ascii="宋体" w:hAnsi="宋体" w:cs="宋体"/>
          <w:color w:val="000000" w:themeColor="text1"/>
          <w:sz w:val="24"/>
          <w:szCs w:val="24"/>
          <w:highlight w:val="none"/>
          <w:lang w:val="en-US" w:eastAsia="zh-CN"/>
          <w14:textFill>
            <w14:solidFill>
              <w14:schemeClr w14:val="tx1"/>
            </w14:solidFill>
          </w14:textFill>
        </w:rPr>
        <w:t>2.5</w:t>
      </w:r>
      <w:r>
        <w:rPr>
          <w:rFonts w:hint="eastAsia" w:ascii="宋体" w:hAnsi="宋体" w:cs="宋体"/>
          <w:color w:val="000000" w:themeColor="text1"/>
          <w:sz w:val="24"/>
          <w:szCs w:val="24"/>
          <w:highlight w:val="none"/>
          <w14:textFill>
            <w14:solidFill>
              <w14:schemeClr w14:val="tx1"/>
            </w14:solidFill>
          </w14:textFill>
        </w:rPr>
        <w:t>元/斤，若中标</w:t>
      </w:r>
      <w:r>
        <w:rPr>
          <w:rFonts w:hint="eastAsia" w:ascii="宋体" w:hAnsi="宋体" w:cs="宋体"/>
          <w:color w:val="000000" w:themeColor="text1"/>
          <w:sz w:val="24"/>
          <w:szCs w:val="24"/>
          <w:highlight w:val="none"/>
          <w:lang w:val="en-US" w:eastAsia="zh-CN"/>
          <w14:textFill>
            <w14:solidFill>
              <w14:schemeClr w14:val="tx1"/>
            </w14:solidFill>
          </w14:textFill>
        </w:rPr>
        <w:t>结算</w:t>
      </w:r>
      <w:r>
        <w:rPr>
          <w:rFonts w:hint="eastAsia" w:ascii="宋体" w:hAnsi="宋体" w:cs="宋体"/>
          <w:color w:val="000000" w:themeColor="text1"/>
          <w:sz w:val="24"/>
          <w:szCs w:val="24"/>
          <w:highlight w:val="none"/>
          <w14:textFill>
            <w14:solidFill>
              <w14:schemeClr w14:val="tx1"/>
            </w14:solidFill>
          </w14:textFill>
        </w:rPr>
        <w:t>率为</w:t>
      </w:r>
      <w:r>
        <w:rPr>
          <w:rFonts w:hint="eastAsia" w:ascii="宋体" w:hAnsi="宋体" w:cs="宋体"/>
          <w:color w:val="000000" w:themeColor="text1"/>
          <w:sz w:val="24"/>
          <w:szCs w:val="24"/>
          <w:highlight w:val="none"/>
          <w:lang w:val="en-US" w:eastAsia="zh-CN"/>
          <w14:textFill>
            <w14:solidFill>
              <w14:schemeClr w14:val="tx1"/>
            </w14:solidFill>
          </w14:textFill>
        </w:rPr>
        <w:t>79</w:t>
      </w:r>
      <w:r>
        <w:rPr>
          <w:rFonts w:hint="eastAsia" w:ascii="宋体" w:hAnsi="宋体" w:cs="宋体"/>
          <w:color w:val="000000" w:themeColor="text1"/>
          <w:sz w:val="24"/>
          <w:szCs w:val="24"/>
          <w:highlight w:val="none"/>
          <w14:textFill>
            <w14:solidFill>
              <w14:schemeClr w14:val="tx1"/>
            </w14:solidFill>
          </w14:textFill>
        </w:rPr>
        <w:t>%，则结算价计算如下：</w:t>
      </w:r>
      <w:r>
        <w:rPr>
          <w:rFonts w:hint="eastAsia" w:ascii="宋体" w:hAnsi="宋体" w:cs="宋体"/>
          <w:color w:val="000000" w:themeColor="text1"/>
          <w:sz w:val="24"/>
          <w:szCs w:val="24"/>
          <w:highlight w:val="none"/>
          <w:lang w:val="en-US" w:eastAsia="zh-CN"/>
          <w14:textFill>
            <w14:solidFill>
              <w14:schemeClr w14:val="tx1"/>
            </w14:solidFill>
          </w14:textFill>
        </w:rPr>
        <w:t xml:space="preserve">2.5 </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 xml:space="preserve"> 79% </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1.98</w:t>
      </w:r>
      <w:r>
        <w:rPr>
          <w:rFonts w:hint="eastAsia" w:ascii="宋体" w:hAnsi="宋体" w:cs="宋体"/>
          <w:color w:val="000000" w:themeColor="text1"/>
          <w:sz w:val="24"/>
          <w:szCs w:val="24"/>
          <w:highlight w:val="none"/>
          <w14:textFill>
            <w14:solidFill>
              <w14:schemeClr w14:val="tx1"/>
            </w14:solidFill>
          </w14:textFill>
        </w:rPr>
        <w:t>元</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斤。</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sz w:val="24"/>
          <w:szCs w:val="24"/>
          <w:highlight w:val="none"/>
          <w:lang w:val="en-US" w:eastAsia="zh-CN"/>
        </w:rPr>
        <w:t>6.3.供</w:t>
      </w:r>
      <w:r>
        <w:rPr>
          <w:rFonts w:hint="eastAsia" w:ascii="宋体" w:hAnsi="宋体" w:cs="宋体"/>
          <w:color w:val="000000" w:themeColor="text1"/>
          <w:sz w:val="24"/>
          <w:szCs w:val="24"/>
          <w:highlight w:val="none"/>
          <w14:textFill>
            <w14:solidFill>
              <w14:schemeClr w14:val="tx1"/>
            </w14:solidFill>
          </w14:textFill>
        </w:rPr>
        <w:t>货基准价的确定：</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sz w:val="24"/>
          <w:szCs w:val="24"/>
          <w:highlight w:val="none"/>
          <w:lang w:val="en-US" w:eastAsia="zh-CN"/>
        </w:rPr>
        <w:t>6.3.1.</w:t>
      </w:r>
      <w:r>
        <w:rPr>
          <w:rFonts w:hint="eastAsia" w:ascii="宋体" w:hAnsi="宋体" w:cs="宋体"/>
          <w:color w:val="000000" w:themeColor="text1"/>
          <w:sz w:val="24"/>
          <w:szCs w:val="24"/>
          <w:highlight w:val="none"/>
          <w14:textFill>
            <w14:solidFill>
              <w14:schemeClr w14:val="tx1"/>
            </w14:solidFill>
          </w14:textFill>
        </w:rPr>
        <w:t>货物价格以</w:t>
      </w:r>
      <w:r>
        <w:rPr>
          <w:rFonts w:hint="eastAsia" w:ascii="宋体" w:hAnsi="宋体" w:cs="宋体"/>
          <w:color w:val="000000" w:themeColor="text1"/>
          <w:sz w:val="24"/>
          <w:szCs w:val="24"/>
          <w:highlight w:val="none"/>
          <w:lang w:eastAsia="zh-CN"/>
          <w14:textFill>
            <w14:solidFill>
              <w14:schemeClr w14:val="tx1"/>
            </w14:solidFill>
          </w14:textFill>
        </w:rPr>
        <w:t>成都市</w:t>
      </w:r>
      <w:r>
        <w:rPr>
          <w:rFonts w:hint="eastAsia" w:ascii="宋体" w:hAnsi="宋体" w:cs="宋体"/>
          <w:color w:val="000000" w:themeColor="text1"/>
          <w:sz w:val="24"/>
          <w:szCs w:val="24"/>
          <w:highlight w:val="none"/>
          <w14:textFill>
            <w14:solidFill>
              <w14:schemeClr w14:val="tx1"/>
            </w14:solidFill>
          </w14:textFill>
        </w:rPr>
        <w:t>发改委每月首次发布的《</w:t>
      </w:r>
      <w:r>
        <w:rPr>
          <w:rFonts w:hint="eastAsia" w:ascii="宋体" w:hAnsi="宋体" w:cs="宋体"/>
          <w:color w:val="000000" w:themeColor="text1"/>
          <w:sz w:val="24"/>
          <w:szCs w:val="24"/>
          <w:highlight w:val="none"/>
          <w:lang w:eastAsia="zh-CN"/>
          <w14:textFill>
            <w14:solidFill>
              <w14:schemeClr w14:val="tx1"/>
            </w14:solidFill>
          </w14:textFill>
        </w:rPr>
        <w:t>成都市发展和改革委员会-</w:t>
      </w:r>
      <w:r>
        <w:rPr>
          <w:rFonts w:hint="eastAsia" w:ascii="宋体" w:hAnsi="宋体" w:cs="宋体"/>
          <w:color w:val="000000" w:themeColor="text1"/>
          <w:sz w:val="24"/>
          <w:szCs w:val="24"/>
          <w:highlight w:val="none"/>
          <w:lang w:val="en-US" w:eastAsia="zh-CN"/>
          <w14:textFill>
            <w14:solidFill>
              <w14:schemeClr w14:val="tx1"/>
            </w14:solidFill>
          </w14:textFill>
        </w:rPr>
        <w:t>价格和收费信息公开-中心城区部分农贸市场价格</w:t>
      </w:r>
      <w:r>
        <w:rPr>
          <w:rFonts w:hint="eastAsia" w:ascii="宋体" w:hAnsi="宋体" w:cs="宋体"/>
          <w:color w:val="000000" w:themeColor="text1"/>
          <w:sz w:val="24"/>
          <w:szCs w:val="24"/>
          <w:highlight w:val="none"/>
          <w14:textFill>
            <w14:solidFill>
              <w14:schemeClr w14:val="tx1"/>
            </w14:solidFill>
          </w14:textFill>
        </w:rPr>
        <w:t>》作为基准价参考。</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sz w:val="24"/>
          <w:szCs w:val="24"/>
          <w:highlight w:val="none"/>
          <w:lang w:val="en-US" w:eastAsia="zh-CN"/>
        </w:rPr>
        <w:t>6.3.2.</w:t>
      </w:r>
      <w:r>
        <w:rPr>
          <w:rFonts w:hint="eastAsia" w:ascii="宋体" w:hAnsi="宋体" w:cs="宋体"/>
          <w:color w:val="000000" w:themeColor="text1"/>
          <w:sz w:val="24"/>
          <w:szCs w:val="24"/>
          <w:highlight w:val="none"/>
          <w14:textFill>
            <w14:solidFill>
              <w14:schemeClr w14:val="tx1"/>
            </w14:solidFill>
          </w14:textFill>
        </w:rPr>
        <w:t>所供货物不在《</w:t>
      </w:r>
      <w:r>
        <w:rPr>
          <w:rFonts w:hint="eastAsia" w:ascii="宋体" w:hAnsi="宋体" w:cs="宋体"/>
          <w:color w:val="000000" w:themeColor="text1"/>
          <w:sz w:val="24"/>
          <w:szCs w:val="24"/>
          <w:highlight w:val="none"/>
          <w:lang w:eastAsia="zh-CN"/>
          <w14:textFill>
            <w14:solidFill>
              <w14:schemeClr w14:val="tx1"/>
            </w14:solidFill>
          </w14:textFill>
        </w:rPr>
        <w:t>成都市发展和改革委员会-</w:t>
      </w:r>
      <w:r>
        <w:rPr>
          <w:rFonts w:hint="eastAsia" w:ascii="宋体" w:hAnsi="宋体" w:cs="宋体"/>
          <w:color w:val="000000" w:themeColor="text1"/>
          <w:sz w:val="24"/>
          <w:szCs w:val="24"/>
          <w:highlight w:val="none"/>
          <w:lang w:val="en-US" w:eastAsia="zh-CN"/>
          <w14:textFill>
            <w14:solidFill>
              <w14:schemeClr w14:val="tx1"/>
            </w14:solidFill>
          </w14:textFill>
        </w:rPr>
        <w:t>价格和收费信息公开-中心城区部分农贸市场价格</w:t>
      </w:r>
      <w:r>
        <w:rPr>
          <w:rFonts w:hint="eastAsia" w:ascii="宋体" w:hAnsi="宋体" w:cs="宋体"/>
          <w:color w:val="000000" w:themeColor="text1"/>
          <w:sz w:val="24"/>
          <w:szCs w:val="24"/>
          <w:highlight w:val="none"/>
          <w14:textFill>
            <w14:solidFill>
              <w14:schemeClr w14:val="tx1"/>
            </w14:solidFill>
          </w14:textFill>
        </w:rPr>
        <w:t>》内的，首先参照</w:t>
      </w:r>
      <w:r>
        <w:rPr>
          <w:rFonts w:hint="eastAsia" w:ascii="宋体" w:hAnsi="宋体" w:cs="宋体"/>
          <w:color w:val="000000" w:themeColor="text1"/>
          <w:sz w:val="24"/>
          <w:szCs w:val="24"/>
          <w:highlight w:val="none"/>
          <w:lang w:eastAsia="zh-CN"/>
          <w14:textFill>
            <w14:solidFill>
              <w14:schemeClr w14:val="tx1"/>
            </w14:solidFill>
          </w14:textFill>
        </w:rPr>
        <w:t>《成都市城市居民生活价格服务公益平台》</w:t>
      </w:r>
      <w:r>
        <w:rPr>
          <w:rFonts w:hint="eastAsia" w:ascii="宋体" w:hAnsi="宋体" w:cs="宋体"/>
          <w:color w:val="000000" w:themeColor="text1"/>
          <w:sz w:val="24"/>
          <w:szCs w:val="24"/>
          <w:highlight w:val="none"/>
          <w:lang w:val="en-US" w:eastAsia="zh-CN"/>
          <w14:textFill>
            <w14:solidFill>
              <w14:schemeClr w14:val="tx1"/>
            </w14:solidFill>
          </w14:textFill>
        </w:rPr>
        <w:t>发布</w:t>
      </w:r>
      <w:r>
        <w:rPr>
          <w:rFonts w:hint="eastAsia" w:ascii="宋体" w:hAnsi="宋体" w:cs="宋体"/>
          <w:color w:val="000000" w:themeColor="text1"/>
          <w:sz w:val="24"/>
          <w:szCs w:val="24"/>
          <w:highlight w:val="none"/>
          <w14:textFill>
            <w14:solidFill>
              <w14:schemeClr w14:val="tx1"/>
            </w14:solidFill>
          </w14:textFill>
        </w:rPr>
        <w:t>的市场平均价作为基准价。</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sz w:val="24"/>
          <w:szCs w:val="24"/>
          <w:highlight w:val="none"/>
          <w:lang w:val="en-US" w:eastAsia="zh-CN"/>
        </w:rPr>
        <w:t>6.3.3.</w:t>
      </w:r>
      <w:r>
        <w:rPr>
          <w:rFonts w:hint="eastAsia" w:ascii="宋体" w:hAnsi="宋体" w:cs="宋体"/>
          <w:color w:val="000000" w:themeColor="text1"/>
          <w:sz w:val="24"/>
          <w:szCs w:val="24"/>
          <w:highlight w:val="none"/>
          <w14:textFill>
            <w14:solidFill>
              <w14:schemeClr w14:val="tx1"/>
            </w14:solidFill>
          </w14:textFill>
        </w:rPr>
        <w:t>如果采购货物未在</w:t>
      </w:r>
      <w:r>
        <w:rPr>
          <w:rFonts w:hint="eastAsia" w:ascii="宋体" w:hAnsi="宋体" w:cs="宋体"/>
          <w:color w:val="000000" w:themeColor="text1"/>
          <w:sz w:val="24"/>
          <w:szCs w:val="24"/>
          <w:highlight w:val="none"/>
          <w:lang w:eastAsia="zh-CN"/>
          <w14:textFill>
            <w14:solidFill>
              <w14:schemeClr w14:val="tx1"/>
            </w14:solidFill>
          </w14:textFill>
        </w:rPr>
        <w:t>《成都市城市居民生活价格服务</w:t>
      </w:r>
      <w:r>
        <w:rPr>
          <w:rFonts w:hint="eastAsia" w:ascii="宋体" w:hAnsi="宋体" w:cs="宋体"/>
          <w:color w:val="000000" w:themeColor="text1"/>
          <w:sz w:val="24"/>
          <w:szCs w:val="24"/>
          <w:highlight w:val="none"/>
          <w:lang w:val="en-US" w:eastAsia="zh-CN"/>
          <w14:textFill>
            <w14:solidFill>
              <w14:schemeClr w14:val="tx1"/>
            </w14:solidFill>
          </w14:textFill>
        </w:rPr>
        <w:t>公益</w:t>
      </w:r>
      <w:r>
        <w:rPr>
          <w:rFonts w:hint="eastAsia" w:ascii="宋体" w:hAnsi="宋体" w:cs="宋体"/>
          <w:color w:val="000000" w:themeColor="text1"/>
          <w:sz w:val="24"/>
          <w:szCs w:val="24"/>
          <w:highlight w:val="none"/>
          <w:lang w:eastAsia="zh-CN"/>
          <w14:textFill>
            <w14:solidFill>
              <w14:schemeClr w14:val="tx1"/>
            </w14:solidFill>
          </w14:textFill>
        </w:rPr>
        <w:t>平台》</w:t>
      </w:r>
      <w:r>
        <w:rPr>
          <w:rFonts w:hint="eastAsia" w:ascii="宋体" w:hAnsi="宋体" w:cs="宋体"/>
          <w:color w:val="000000" w:themeColor="text1"/>
          <w:sz w:val="24"/>
          <w:szCs w:val="24"/>
          <w:highlight w:val="none"/>
          <w:lang w:val="en-US" w:eastAsia="zh-CN"/>
          <w14:textFill>
            <w14:solidFill>
              <w14:schemeClr w14:val="tx1"/>
            </w14:solidFill>
          </w14:textFill>
        </w:rPr>
        <w:t>内的</w:t>
      </w:r>
      <w:r>
        <w:rPr>
          <w:rFonts w:hint="eastAsia" w:ascii="宋体" w:hAnsi="宋体" w:cs="宋体"/>
          <w:color w:val="000000" w:themeColor="text1"/>
          <w:sz w:val="24"/>
          <w:szCs w:val="24"/>
          <w:highlight w:val="none"/>
          <w14:textFill>
            <w14:solidFill>
              <w14:schemeClr w14:val="tx1"/>
            </w14:solidFill>
          </w14:textFill>
        </w:rPr>
        <w:t>，则在项目所在地就近的综合市场或大型超市进行联合采价作为基准价（每次采价由院方随机抽取），</w:t>
      </w:r>
      <w:r>
        <w:rPr>
          <w:rFonts w:hint="eastAsia" w:ascii="宋体" w:hAnsi="宋体" w:cs="宋体"/>
          <w:color w:val="000000"/>
          <w:sz w:val="24"/>
          <w:szCs w:val="24"/>
          <w:highlight w:val="none"/>
          <w:lang w:val="en-US" w:eastAsia="zh-CN"/>
        </w:rPr>
        <w:t>基准价为该市场的常规零售标价，临时性、短期性促销价格（如店庆、限时特价）、会员专享价、破损或临期商品处理等非正常售价，不作为基准价，采购结果应由采购方、供应方共同签字确认。</w:t>
      </w:r>
    </w:p>
    <w:p>
      <w:pPr>
        <w:pStyle w:val="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6.3.4.</w:t>
      </w:r>
      <w:r>
        <w:rPr>
          <w:rFonts w:hint="eastAsia" w:ascii="宋体" w:hAnsi="宋体" w:cs="宋体"/>
          <w:color w:val="000000" w:themeColor="text1"/>
          <w:sz w:val="24"/>
          <w:szCs w:val="24"/>
          <w:highlight w:val="none"/>
          <w14:textFill>
            <w14:solidFill>
              <w14:schemeClr w14:val="tx1"/>
            </w14:solidFill>
          </w14:textFill>
        </w:rPr>
        <w:t>该项目采价周期为每月一次。</w:t>
      </w:r>
    </w:p>
    <w:p>
      <w:pPr>
        <w:pStyle w:val="2"/>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半净菜结算计重按以下公式计算，即：半净菜计重=实收重量×（1+20%）。</w:t>
      </w:r>
    </w:p>
    <w:p>
      <w:pPr>
        <w:rPr>
          <w:rFonts w:hint="eastAsia" w:ascii="宋体" w:hAnsi="宋体" w:cs="宋体"/>
          <w:color w:val="000000"/>
          <w:sz w:val="24"/>
          <w:szCs w:val="24"/>
          <w:highlight w:val="none"/>
        </w:rPr>
      </w:pPr>
      <w:r>
        <w:rPr>
          <w:rFonts w:hint="eastAsia" w:ascii="宋体" w:hAnsi="宋体" w:cs="宋体"/>
          <w:color w:val="000000"/>
          <w:sz w:val="24"/>
          <w:szCs w:val="24"/>
          <w:highlight w:val="none"/>
        </w:rPr>
        <w:t>7.所供货物应能在政府指定的食品溯源系统进行有效溯源。</w:t>
      </w:r>
    </w:p>
    <w:p>
      <w:pPr>
        <w:numPr>
          <w:ilvl w:val="0"/>
          <w:numId w:val="0"/>
        </w:numPr>
        <w:rPr>
          <w:rFonts w:hint="eastAsia" w:ascii="宋体" w:hAnsi="宋体" w:cs="宋体"/>
          <w:color w:val="000000"/>
          <w:sz w:val="24"/>
          <w:szCs w:val="24"/>
          <w:highlight w:val="none"/>
        </w:rPr>
      </w:pPr>
      <w:r>
        <w:rPr>
          <w:rFonts w:hint="eastAsia" w:ascii="宋体" w:hAnsi="宋体" w:cs="宋体"/>
          <w:sz w:val="24"/>
          <w:szCs w:val="24"/>
          <w:highlight w:val="none"/>
          <w:lang w:val="en-US" w:eastAsia="zh-CN"/>
        </w:rPr>
        <w:t>8.</w:t>
      </w:r>
      <w:r>
        <w:rPr>
          <w:rFonts w:ascii="宋体" w:hAnsi="宋体" w:eastAsia="宋体" w:cs="宋体"/>
          <w:sz w:val="24"/>
          <w:szCs w:val="24"/>
          <w:highlight w:val="none"/>
        </w:rPr>
        <w:t>服务期限</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本项目服务期限</w:t>
      </w:r>
      <w:r>
        <w:rPr>
          <w:rFonts w:hint="eastAsia" w:ascii="宋体" w:hAnsi="宋体" w:cs="宋体"/>
          <w:sz w:val="24"/>
          <w:szCs w:val="24"/>
          <w:highlight w:val="none"/>
          <w:lang w:val="en-US" w:eastAsia="zh-CN"/>
        </w:rPr>
        <w:t>3</w:t>
      </w:r>
      <w:r>
        <w:rPr>
          <w:rFonts w:ascii="宋体" w:hAnsi="宋体" w:eastAsia="宋体" w:cs="宋体"/>
          <w:sz w:val="24"/>
          <w:szCs w:val="24"/>
          <w:highlight w:val="none"/>
        </w:rPr>
        <w:t>年，合同一年一签。经</w:t>
      </w:r>
      <w:r>
        <w:rPr>
          <w:rFonts w:hint="eastAsia" w:ascii="宋体" w:hAnsi="宋体" w:eastAsia="宋体" w:cs="宋体"/>
          <w:sz w:val="24"/>
          <w:szCs w:val="24"/>
          <w:highlight w:val="none"/>
          <w:lang w:val="en-US" w:eastAsia="zh-CN"/>
        </w:rPr>
        <w:t>采购</w:t>
      </w:r>
      <w:r>
        <w:rPr>
          <w:rFonts w:ascii="宋体" w:hAnsi="宋体" w:eastAsia="宋体" w:cs="宋体"/>
          <w:sz w:val="24"/>
          <w:szCs w:val="24"/>
          <w:highlight w:val="none"/>
        </w:rPr>
        <w:t>方年度考核</w:t>
      </w:r>
      <w:r>
        <w:rPr>
          <w:rFonts w:hint="eastAsia" w:ascii="宋体" w:hAnsi="宋体" w:cs="宋体"/>
          <w:sz w:val="24"/>
          <w:szCs w:val="24"/>
          <w:highlight w:val="none"/>
          <w:lang w:val="en-US" w:eastAsia="zh-CN"/>
        </w:rPr>
        <w:t>果蔬</w:t>
      </w:r>
      <w:r>
        <w:rPr>
          <w:rFonts w:ascii="宋体" w:hAnsi="宋体" w:eastAsia="宋体" w:cs="宋体"/>
          <w:sz w:val="24"/>
          <w:szCs w:val="24"/>
          <w:highlight w:val="none"/>
        </w:rPr>
        <w:t>供应服务合格（不合格为一个合同年度内累计三个月考核低于</w:t>
      </w:r>
      <w:r>
        <w:rPr>
          <w:rFonts w:hint="eastAsia" w:ascii="宋体" w:hAnsi="宋体" w:cs="宋体"/>
          <w:sz w:val="24"/>
          <w:szCs w:val="24"/>
          <w:highlight w:val="none"/>
          <w:lang w:val="en-US" w:eastAsia="zh-CN"/>
        </w:rPr>
        <w:t>85</w:t>
      </w:r>
      <w:r>
        <w:rPr>
          <w:rFonts w:ascii="宋体" w:hAnsi="宋体" w:eastAsia="宋体" w:cs="宋体"/>
          <w:sz w:val="24"/>
          <w:szCs w:val="24"/>
          <w:highlight w:val="none"/>
        </w:rPr>
        <w:t>分）,方可续签下一年度合同。</w:t>
      </w:r>
    </w:p>
    <w:p>
      <w:pPr>
        <w:rPr>
          <w:rFonts w:ascii="宋体" w:hAnsi="宋体" w:cs="宋体"/>
          <w:color w:val="000000"/>
          <w:sz w:val="24"/>
          <w:szCs w:val="24"/>
          <w:highlight w:val="none"/>
        </w:rPr>
      </w:pPr>
      <w:r>
        <w:rPr>
          <w:rFonts w:hint="eastAsia" w:ascii="宋体" w:hAnsi="宋体" w:cs="宋体"/>
          <w:color w:val="000000"/>
          <w:sz w:val="24"/>
          <w:szCs w:val="24"/>
          <w:highlight w:val="none"/>
        </w:rPr>
        <w:t>第三包：</w:t>
      </w:r>
    </w:p>
    <w:p>
      <w:pPr>
        <w:rPr>
          <w:rFonts w:hint="eastAsia" w:ascii="宋体" w:hAnsi="宋体" w:cs="宋体"/>
          <w:color w:val="000000"/>
          <w:sz w:val="24"/>
          <w:szCs w:val="24"/>
          <w:highlight w:val="none"/>
        </w:rPr>
      </w:pPr>
      <w:r>
        <w:rPr>
          <w:rFonts w:hint="eastAsia" w:ascii="宋体" w:hAnsi="宋体" w:cs="宋体"/>
          <w:color w:val="000000"/>
          <w:sz w:val="24"/>
          <w:szCs w:val="24"/>
          <w:highlight w:val="none"/>
        </w:rPr>
        <w:t>1.副食品</w:t>
      </w:r>
      <w:r>
        <w:rPr>
          <w:rFonts w:hint="eastAsia" w:ascii="宋体" w:hAnsi="宋体" w:cs="宋体"/>
          <w:color w:val="000000"/>
          <w:sz w:val="24"/>
          <w:szCs w:val="24"/>
          <w:highlight w:val="none"/>
          <w:lang w:val="en-US" w:eastAsia="zh-CN"/>
        </w:rPr>
        <w:t>供应服务</w:t>
      </w:r>
      <w:r>
        <w:rPr>
          <w:rFonts w:hint="eastAsia" w:ascii="宋体" w:hAnsi="宋体" w:cs="宋体"/>
          <w:color w:val="000000"/>
          <w:sz w:val="24"/>
          <w:szCs w:val="24"/>
          <w:highlight w:val="none"/>
        </w:rPr>
        <w:t>内容:</w:t>
      </w:r>
    </w:p>
    <w:p>
      <w:pPr>
        <w:rPr>
          <w:rFonts w:hint="eastAsia" w:ascii="宋体" w:hAnsi="宋体" w:cs="宋体"/>
          <w:color w:val="000000"/>
          <w:sz w:val="24"/>
          <w:szCs w:val="24"/>
          <w:highlight w:val="none"/>
        </w:rPr>
      </w:pPr>
    </w:p>
    <w:p>
      <w:pPr>
        <w:rPr>
          <w:rFonts w:hint="eastAsia" w:ascii="宋体" w:hAnsi="宋体" w:cs="宋体"/>
          <w:color w:val="000000"/>
          <w:sz w:val="24"/>
          <w:szCs w:val="24"/>
          <w:highlight w:val="none"/>
        </w:rPr>
      </w:pPr>
    </w:p>
    <w:p>
      <w:pPr>
        <w:numPr>
          <w:ilvl w:val="0"/>
          <w:numId w:val="0"/>
        </w:numPr>
        <w:ind w:leftChars="0"/>
        <w:rPr>
          <w:rFonts w:hint="eastAsia" w:ascii="宋体" w:hAnsi="宋体" w:cs="宋体"/>
          <w:bCs/>
          <w:sz w:val="24"/>
          <w:szCs w:val="24"/>
          <w:highlight w:val="none"/>
        </w:rPr>
      </w:pPr>
    </w:p>
    <w:tbl>
      <w:tblPr>
        <w:tblStyle w:val="10"/>
        <w:tblW w:w="5111" w:type="pct"/>
        <w:tblInd w:w="0" w:type="dxa"/>
        <w:tblLayout w:type="fixed"/>
        <w:tblCellMar>
          <w:top w:w="0" w:type="dxa"/>
          <w:left w:w="108" w:type="dxa"/>
          <w:bottom w:w="0" w:type="dxa"/>
          <w:right w:w="108" w:type="dxa"/>
        </w:tblCellMar>
      </w:tblPr>
      <w:tblGrid>
        <w:gridCol w:w="969"/>
        <w:gridCol w:w="1126"/>
        <w:gridCol w:w="8088"/>
      </w:tblGrid>
      <w:tr>
        <w:tblPrEx>
          <w:tblCellMar>
            <w:top w:w="0" w:type="dxa"/>
            <w:left w:w="108" w:type="dxa"/>
            <w:bottom w:w="0" w:type="dxa"/>
            <w:right w:w="108" w:type="dxa"/>
          </w:tblCellMar>
        </w:tblPrEx>
        <w:trPr>
          <w:trHeight w:val="90" w:hRule="atLeast"/>
        </w:trPr>
        <w:tc>
          <w:tcPr>
            <w:tcW w:w="4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序号</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b/>
                <w:bCs/>
                <w:color w:val="000000"/>
                <w:sz w:val="21"/>
                <w:szCs w:val="21"/>
                <w:highlight w:val="none"/>
              </w:rPr>
            </w:pPr>
            <w:r>
              <w:rPr>
                <w:rStyle w:val="18"/>
                <w:rFonts w:hint="eastAsia" w:ascii="宋体" w:hAnsi="宋体" w:eastAsia="宋体" w:cs="宋体"/>
                <w:b/>
                <w:bCs/>
                <w:sz w:val="21"/>
                <w:szCs w:val="21"/>
                <w:highlight w:val="none"/>
                <w:lang w:val="en-US" w:eastAsia="zh-CN"/>
              </w:rPr>
              <w:t>标的</w:t>
            </w:r>
            <w:r>
              <w:rPr>
                <w:rStyle w:val="18"/>
                <w:rFonts w:hint="eastAsia" w:ascii="宋体" w:hAnsi="宋体" w:eastAsia="宋体" w:cs="宋体"/>
                <w:b/>
                <w:bCs/>
                <w:sz w:val="21"/>
                <w:szCs w:val="21"/>
                <w:highlight w:val="none"/>
              </w:rPr>
              <w:t>名称</w:t>
            </w:r>
          </w:p>
        </w:tc>
        <w:tc>
          <w:tcPr>
            <w:tcW w:w="39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b/>
                <w:bCs/>
                <w:color w:val="000000"/>
                <w:sz w:val="21"/>
                <w:szCs w:val="21"/>
                <w:highlight w:val="none"/>
                <w:lang w:val="en-US" w:eastAsia="zh-CN"/>
              </w:rPr>
            </w:pPr>
            <w:r>
              <w:rPr>
                <w:rStyle w:val="17"/>
                <w:rFonts w:hint="eastAsia" w:ascii="宋体" w:hAnsi="宋体" w:eastAsia="宋体" w:cs="宋体"/>
                <w:b/>
                <w:bCs/>
                <w:sz w:val="21"/>
                <w:szCs w:val="21"/>
                <w:highlight w:val="none"/>
                <w:lang w:val="en-US" w:eastAsia="zh-CN"/>
              </w:rPr>
              <w:t>技术参数与性能指标</w:t>
            </w:r>
          </w:p>
        </w:tc>
      </w:tr>
      <w:tr>
        <w:tblPrEx>
          <w:tblCellMar>
            <w:top w:w="0" w:type="dxa"/>
            <w:left w:w="108" w:type="dxa"/>
            <w:bottom w:w="0" w:type="dxa"/>
            <w:right w:w="108" w:type="dxa"/>
          </w:tblCellMar>
        </w:tblPrEx>
        <w:trPr>
          <w:trHeight w:val="975" w:hRule="atLeast"/>
        </w:trPr>
        <w:tc>
          <w:tcPr>
            <w:tcW w:w="4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sz w:val="21"/>
                <w:szCs w:val="21"/>
                <w:highlight w:val="none"/>
              </w:rPr>
              <w:t>调味品</w:t>
            </w:r>
          </w:p>
        </w:tc>
        <w:tc>
          <w:tcPr>
            <w:tcW w:w="39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质量标准：符合</w:t>
            </w:r>
            <w:r>
              <w:rPr>
                <w:rFonts w:hint="eastAsia" w:ascii="宋体" w:hAnsi="宋体" w:eastAsia="宋体" w:cs="宋体"/>
                <w:color w:val="auto"/>
                <w:sz w:val="21"/>
                <w:szCs w:val="21"/>
                <w:highlight w:val="none"/>
                <w:lang w:val="en-US" w:eastAsia="zh-CN"/>
              </w:rPr>
              <w:t>《GB2720-2015食品安全国家标准 味精》，</w:t>
            </w:r>
            <w:r>
              <w:rPr>
                <w:rFonts w:hint="eastAsia" w:ascii="宋体" w:hAnsi="宋体" w:eastAsia="宋体" w:cs="宋体"/>
                <w:color w:val="auto"/>
                <w:sz w:val="21"/>
                <w:szCs w:val="21"/>
                <w:highlight w:val="none"/>
              </w:rPr>
              <w:t>《GB2717-2018食品安全国家标准</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酱油》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《GB271</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-2018食品安全国家标准</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食醋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《GB2720-2721食品安全国家标准 食盐》等</w:t>
            </w:r>
            <w:r>
              <w:rPr>
                <w:rFonts w:hint="eastAsia" w:ascii="宋体" w:hAnsi="宋体" w:cs="宋体"/>
                <w:color w:val="auto"/>
                <w:sz w:val="21"/>
                <w:szCs w:val="21"/>
                <w:highlight w:val="none"/>
                <w:lang w:val="en-US" w:eastAsia="zh-CN"/>
              </w:rPr>
              <w:t>相关标准。如有最新标准时按最新标准行。</w:t>
            </w:r>
            <w:r>
              <w:rPr>
                <w:rFonts w:hint="eastAsia" w:ascii="宋体" w:hAnsi="宋体" w:eastAsia="宋体" w:cs="宋体"/>
                <w:color w:val="auto"/>
                <w:sz w:val="21"/>
                <w:szCs w:val="21"/>
                <w:highlight w:val="none"/>
                <w:lang w:val="en-US" w:eastAsia="zh-CN"/>
              </w:rPr>
              <w:t>具备SC生产许可证编号。</w:t>
            </w:r>
          </w:p>
          <w:p>
            <w:pPr>
              <w:pStyle w:val="2"/>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质量</w:t>
            </w:r>
            <w:r>
              <w:rPr>
                <w:rFonts w:hint="eastAsia" w:ascii="宋体" w:hAnsi="宋体" w:eastAsia="宋体" w:cs="宋体"/>
                <w:sz w:val="21"/>
                <w:szCs w:val="21"/>
                <w:highlight w:val="none"/>
              </w:rPr>
              <w:t>要求：色泽正常，无异味、无霉变、无杂质；液体调味品（酱油、醋等）澄清透明或半透明，无明显悬浮物和沉淀物；固体调味品（盐、味精、鸡精等）颗粒均匀，无结块</w:t>
            </w:r>
            <w:r>
              <w:rPr>
                <w:rFonts w:hint="eastAsia" w:ascii="宋体" w:hAnsi="宋体" w:eastAsia="宋体" w:cs="宋体"/>
                <w:sz w:val="21"/>
                <w:szCs w:val="21"/>
                <w:highlight w:val="none"/>
                <w:lang w:eastAsia="zh-CN"/>
              </w:rPr>
              <w:t>。</w:t>
            </w:r>
          </w:p>
          <w:p>
            <w:pPr>
              <w:pStyle w:val="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储存运输：采用食品级包装材料，包装牢固、密封完好，无破损、渗漏现象；标签标识完整清晰，包含产品名称、规格、净含量、生产日期、保质期、生产者名称及联系方式、成分或配料表、食品生产许可证编号（SC编码）、执行标准号等必要信息。</w:t>
            </w:r>
          </w:p>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（4）保质期：距生产日期不超过保质期的1/3，保质期内产品质量稳定。</w:t>
            </w:r>
          </w:p>
        </w:tc>
      </w:tr>
      <w:tr>
        <w:tblPrEx>
          <w:tblCellMar>
            <w:top w:w="0" w:type="dxa"/>
            <w:left w:w="108" w:type="dxa"/>
            <w:bottom w:w="0" w:type="dxa"/>
            <w:right w:w="108" w:type="dxa"/>
          </w:tblCellMar>
        </w:tblPrEx>
        <w:trPr>
          <w:trHeight w:val="975" w:hRule="atLeast"/>
        </w:trPr>
        <w:tc>
          <w:tcPr>
            <w:tcW w:w="4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2</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sz w:val="21"/>
                <w:szCs w:val="21"/>
                <w:highlight w:val="none"/>
                <w:lang w:val="en-US" w:eastAsia="zh-CN"/>
              </w:rPr>
            </w:pPr>
            <w:r>
              <w:rPr>
                <w:rFonts w:hint="eastAsia" w:ascii="宋体" w:hAnsi="宋体" w:cs="宋体"/>
                <w:i w:val="0"/>
                <w:iCs w:val="0"/>
                <w:color w:val="000000"/>
                <w:kern w:val="0"/>
                <w:sz w:val="21"/>
                <w:szCs w:val="21"/>
                <w:highlight w:val="none"/>
                <w:u w:val="none"/>
                <w:lang w:val="en-US" w:eastAsia="zh-CN" w:bidi="ar"/>
              </w:rPr>
              <w:t>香辛料及干杂品</w:t>
            </w:r>
          </w:p>
        </w:tc>
        <w:tc>
          <w:tcPr>
            <w:tcW w:w="39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质量标准：符合</w:t>
            </w:r>
            <w:r>
              <w:rPr>
                <w:rFonts w:hint="eastAsia" w:ascii="宋体" w:hAnsi="宋体" w:eastAsia="宋体" w:cs="宋体"/>
                <w:color w:val="auto"/>
                <w:sz w:val="21"/>
                <w:szCs w:val="21"/>
                <w:highlight w:val="none"/>
                <w:lang w:val="en-US" w:eastAsia="zh-CN"/>
              </w:rPr>
              <w:t>GB</w:t>
            </w:r>
            <w:r>
              <w:rPr>
                <w:rFonts w:hint="eastAsia" w:ascii="宋体" w:hAnsi="宋体" w:cs="宋体"/>
                <w:color w:val="auto"/>
                <w:sz w:val="21"/>
                <w:szCs w:val="21"/>
                <w:highlight w:val="none"/>
                <w:lang w:val="en-US" w:eastAsia="zh-CN"/>
              </w:rPr>
              <w:t>29921</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20</w:t>
            </w:r>
            <w:r>
              <w:rPr>
                <w:rFonts w:hint="eastAsia" w:ascii="宋体" w:hAnsi="宋体" w:eastAsia="宋体" w:cs="宋体"/>
                <w:color w:val="auto"/>
                <w:kern w:val="0"/>
                <w:sz w:val="22"/>
                <w:szCs w:val="22"/>
                <w:highlight w:val="none"/>
                <w:lang w:val="en-US" w:eastAsia="zh-CN" w:bidi="ar"/>
              </w:rPr>
              <w:t>21《食品安全国家标准 预包装食品中致病菌限量</w:t>
            </w:r>
          </w:p>
          <w:p>
            <w:pPr>
              <w:keepNext w:val="0"/>
              <w:keepLines w:val="0"/>
              <w:widowControl/>
              <w:suppressLineNumbers w:val="0"/>
              <w:jc w:val="left"/>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》，GB7096-2014《食品安全国家标准 食用菌及其制品》、GB/T15691—2008《 香辛料调味品通用技术条件》、GB/T23183—2009《辣椒粉》</w:t>
            </w:r>
            <w:r>
              <w:rPr>
                <w:rFonts w:hint="eastAsia" w:ascii="宋体" w:hAnsi="宋体" w:cs="宋体"/>
                <w:color w:val="auto"/>
                <w:sz w:val="21"/>
                <w:szCs w:val="21"/>
                <w:highlight w:val="none"/>
                <w:lang w:val="en-US" w:eastAsia="zh-CN"/>
              </w:rPr>
              <w:t>。如有最新标准时按最新标准行。</w:t>
            </w:r>
          </w:p>
          <w:p>
            <w:pPr>
              <w:pStyle w:val="2"/>
              <w:numPr>
                <w:ilvl w:val="0"/>
                <w:numId w:val="0"/>
              </w:numPr>
              <w:ind w:leftChars="0"/>
              <w:rPr>
                <w:rFonts w:hint="eastAsia" w:ascii="宋体" w:hAnsi="宋体" w:eastAsia="宋体" w:cs="宋体"/>
                <w:sz w:val="21"/>
                <w:szCs w:val="21"/>
                <w:highlight w:val="none"/>
                <w:lang w:val="en-US" w:eastAsia="zh-CN"/>
              </w:rPr>
            </w:pPr>
            <w:r>
              <w:rPr>
                <w:rFonts w:hint="eastAsia" w:hAnsi="宋体" w:cs="宋体"/>
                <w:color w:val="auto"/>
                <w:sz w:val="21"/>
                <w:szCs w:val="21"/>
                <w:highlight w:val="none"/>
                <w:lang w:val="en-US" w:eastAsia="zh-CN"/>
              </w:rPr>
              <w:t>（</w:t>
            </w:r>
            <w:r>
              <w:rPr>
                <w:rFonts w:hint="eastAsia" w:ascii="宋体" w:hAnsi="宋体" w:eastAsia="宋体" w:cs="宋体"/>
                <w:sz w:val="21"/>
                <w:szCs w:val="21"/>
                <w:highlight w:val="none"/>
                <w:lang w:val="en-US" w:eastAsia="zh-CN"/>
              </w:rPr>
              <w:t>2）质量要求：干爽、不霉烂、整齐、完整、无虫蛀、无杂质，保持产品本该应有的色泽。应确保产品质量稳定，绿色安全、海味浓郁、易存放、食用方便，保质期长。从加工、包装、运输、贮存到销售全部符合国家规定标准。采购人可根据实际情况对需要的商品进行产品质量抽检，对质量未达到国家标准的商品采购人有权拒绝接收。香辛料及干杂等不得含有二氧化硫和非法使用添加剂，均为正规厂家生产。</w:t>
            </w:r>
          </w:p>
          <w:p>
            <w:pPr>
              <w:pStyle w:val="2"/>
              <w:numPr>
                <w:ilvl w:val="0"/>
                <w:numId w:val="0"/>
              </w:numPr>
              <w:ind w:left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（3）储存运输：</w:t>
            </w:r>
            <w:r>
              <w:rPr>
                <w:rFonts w:hint="eastAsia" w:hAnsi="宋体" w:cs="宋体"/>
                <w:sz w:val="21"/>
                <w:szCs w:val="21"/>
                <w:highlight w:val="none"/>
                <w:lang w:val="en-US" w:eastAsia="zh-CN"/>
              </w:rPr>
              <w:t>符合国家食品卫生要求的专用食品袋，确保食品和质量无任何破损、无挤压、无破碎、无异味、不受外界污染。</w:t>
            </w:r>
          </w:p>
        </w:tc>
      </w:tr>
      <w:tr>
        <w:tblPrEx>
          <w:tblCellMar>
            <w:top w:w="0" w:type="dxa"/>
            <w:left w:w="108" w:type="dxa"/>
            <w:bottom w:w="0" w:type="dxa"/>
            <w:right w:w="108" w:type="dxa"/>
          </w:tblCellMar>
        </w:tblPrEx>
        <w:trPr>
          <w:trHeight w:val="975" w:hRule="atLeast"/>
        </w:trPr>
        <w:tc>
          <w:tcPr>
            <w:tcW w:w="4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3</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乳制品</w:t>
            </w:r>
          </w:p>
        </w:tc>
        <w:tc>
          <w:tcPr>
            <w:tcW w:w="3971" w:type="pct"/>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6"/>
              </w:num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质量标准：</w:t>
            </w:r>
            <w:r>
              <w:rPr>
                <w:rFonts w:hint="eastAsia" w:ascii="宋体" w:hAnsi="宋体" w:eastAsia="宋体" w:cs="宋体"/>
                <w:sz w:val="21"/>
                <w:szCs w:val="21"/>
                <w:highlight w:val="none"/>
              </w:rPr>
              <w:t>乳制品以生牛乳为原料，符合 GB 25190-2010/XG1-2025《食品安全国家标准 灭菌乳</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含第1号修改单</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GB 25191-2010《食品安全国家标准 调制乳》</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GB 19302-2010《食品安全国家标准 发酵乳》</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r>
              <w:rPr>
                <w:rFonts w:hint="eastAsia" w:ascii="宋体" w:hAnsi="宋体" w:eastAsia="宋体" w:cs="宋体"/>
                <w:sz w:val="21"/>
                <w:szCs w:val="21"/>
                <w:highlight w:val="none"/>
                <w:lang w:val="en-US" w:eastAsia="zh-CN"/>
              </w:rPr>
              <w:t>具备SC生产许可证编号。</w:t>
            </w:r>
          </w:p>
          <w:p>
            <w:pPr>
              <w:numPr>
                <w:ilvl w:val="0"/>
                <w:numId w:val="6"/>
              </w:num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质量</w:t>
            </w:r>
            <w:r>
              <w:rPr>
                <w:rFonts w:hint="eastAsia" w:ascii="宋体" w:hAnsi="宋体" w:eastAsia="宋体" w:cs="宋体"/>
                <w:sz w:val="21"/>
                <w:szCs w:val="21"/>
                <w:highlight w:val="none"/>
              </w:rPr>
              <w:t>要求：色泽均匀，呈乳白色或微黄色；乳液均匀一致，无分层、无沉淀、无凝块；具有产品固有的香味，无异味、无腐败味。蛋白质含量≥2.8g/100mL（灭菌乳、调制乳）；脂肪含量≥3.2g/100mL（灭菌乳）；酸度符合相关标准（发酵乳酸度≥70°T）；无有害重金属（铅≤0.02mg/kg、砷≤0.01mg/kg）；非脂乳固体≥8.1g/100mL（灭菌乳）。</w:t>
            </w:r>
          </w:p>
          <w:p>
            <w:pPr>
              <w:numPr>
                <w:ilvl w:val="0"/>
                <w:numId w:val="6"/>
              </w:num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储存运输：</w:t>
            </w:r>
            <w:r>
              <w:rPr>
                <w:rFonts w:hint="eastAsia" w:ascii="宋体" w:hAnsi="宋体" w:eastAsia="宋体" w:cs="宋体"/>
                <w:sz w:val="21"/>
                <w:szCs w:val="21"/>
                <w:highlight w:val="none"/>
              </w:rPr>
              <w:t>包装密封良好，无破损、渗漏</w:t>
            </w:r>
            <w:r>
              <w:rPr>
                <w:rFonts w:hint="eastAsia" w:ascii="宋体" w:hAnsi="宋体" w:eastAsia="宋体" w:cs="宋体"/>
                <w:sz w:val="21"/>
                <w:szCs w:val="21"/>
                <w:highlight w:val="none"/>
                <w:lang w:val="en-US" w:eastAsia="zh-CN"/>
              </w:rPr>
              <w:t>现象</w:t>
            </w:r>
            <w:r>
              <w:rPr>
                <w:rFonts w:hint="eastAsia" w:ascii="宋体" w:hAnsi="宋体" w:eastAsia="宋体" w:cs="宋体"/>
                <w:sz w:val="21"/>
                <w:szCs w:val="21"/>
                <w:highlight w:val="none"/>
              </w:rPr>
              <w:t>；标识清晰完整，包含产品名称、规格、净含量、生产日期、保质期、生产者信息、SC编号、执行标准号、配料表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营养成分表</w:t>
            </w:r>
            <w:r>
              <w:rPr>
                <w:rFonts w:hint="eastAsia" w:ascii="宋体" w:hAnsi="宋体" w:eastAsia="宋体" w:cs="宋体"/>
                <w:sz w:val="21"/>
                <w:szCs w:val="21"/>
                <w:highlight w:val="none"/>
              </w:rPr>
              <w:t>等。</w:t>
            </w:r>
          </w:p>
        </w:tc>
      </w:tr>
      <w:tr>
        <w:tblPrEx>
          <w:tblCellMar>
            <w:top w:w="0" w:type="dxa"/>
            <w:left w:w="108" w:type="dxa"/>
            <w:bottom w:w="0" w:type="dxa"/>
            <w:right w:w="108" w:type="dxa"/>
          </w:tblCellMar>
        </w:tblPrEx>
        <w:trPr>
          <w:trHeight w:val="975" w:hRule="atLeast"/>
        </w:trPr>
        <w:tc>
          <w:tcPr>
            <w:tcW w:w="4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4</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饮料</w:t>
            </w:r>
          </w:p>
        </w:tc>
        <w:tc>
          <w:tcPr>
            <w:tcW w:w="39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质量标准：</w:t>
            </w:r>
            <w:r>
              <w:rPr>
                <w:rFonts w:hint="eastAsia" w:ascii="宋体" w:hAnsi="宋体" w:eastAsia="宋体" w:cs="宋体"/>
                <w:color w:val="auto"/>
                <w:sz w:val="21"/>
                <w:szCs w:val="21"/>
                <w:highlight w:val="none"/>
              </w:rPr>
              <w:t xml:space="preserve">符合 </w:t>
            </w:r>
            <w:r>
              <w:rPr>
                <w:rFonts w:hint="eastAsia" w:ascii="宋体" w:hAnsi="宋体" w:eastAsia="宋体" w:cs="宋体"/>
                <w:color w:val="auto"/>
                <w:sz w:val="21"/>
                <w:szCs w:val="21"/>
                <w:highlight w:val="none"/>
                <w:lang w:val="en-US" w:eastAsia="zh-CN"/>
              </w:rPr>
              <w:t>GB 7101-2015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食品安全国家标准 饮料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、GB  2758-2012《</w:t>
            </w:r>
          </w:p>
          <w:p>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食品安全国家标准 发酵酒及其配制酒</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含酒精饮料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r>
              <w:rPr>
                <w:rFonts w:hint="eastAsia" w:ascii="宋体" w:hAnsi="宋体" w:eastAsia="宋体" w:cs="宋体"/>
                <w:color w:val="auto"/>
                <w:sz w:val="21"/>
                <w:szCs w:val="21"/>
                <w:highlight w:val="none"/>
                <w:lang w:val="en-US" w:eastAsia="zh-CN"/>
              </w:rPr>
              <w:t>具备SC生产许可证编号。</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（2）质量要求：色泽正常，符合产品固有特性；澄清透明（含果肉饮料除外），</w:t>
            </w:r>
            <w:r>
              <w:rPr>
                <w:rFonts w:hint="eastAsia" w:ascii="宋体" w:hAnsi="宋体" w:eastAsia="宋体" w:cs="宋体"/>
                <w:color w:val="auto"/>
                <w:kern w:val="0"/>
                <w:sz w:val="21"/>
                <w:szCs w:val="21"/>
                <w:highlight w:val="none"/>
                <w:lang w:val="en-US" w:eastAsia="zh-CN" w:bidi="ar"/>
              </w:rPr>
              <w:t>无明显悬浮物和沉淀物；具有产品固有的香味和滋味，无异味、无变质现象。pH值符合相关产品标准；总酸（以柠檬酸计）≤5.0g/L（果蔬汁类饮料）；可溶性固形物≥5.0°Brix（果蔬汁类饮料）；无有害重金属（铅≤0.02mg/kg、砷≤0.01mg/kg）；含酒精饮料酒精含量标注准确，偏差不超过±1%vol。</w:t>
            </w:r>
          </w:p>
          <w:p>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（3）储存运输：采用食品级包装材料（塑料瓶、玻璃瓶、</w:t>
            </w:r>
            <w:r>
              <w:rPr>
                <w:rFonts w:hint="eastAsia" w:ascii="宋体" w:hAnsi="宋体" w:eastAsia="宋体" w:cs="宋体"/>
                <w:sz w:val="21"/>
                <w:szCs w:val="21"/>
                <w:highlight w:val="none"/>
                <w:lang w:val="en-US" w:eastAsia="zh-CN"/>
              </w:rPr>
              <w:t>易拉罐等），包装密封完好，无破损、渗漏现象；标识清晰完整，包含产品名称、规格、净含量、生产日期、保质期、生产者信息、SC编号、执行标准号、配料表、营养成分表等。</w:t>
            </w:r>
          </w:p>
          <w:p>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（4）保质期：距生产日期不超过保质期的1/3，运输及储存过程中避免高温、暴晒，确保产品质量稳定。</w:t>
            </w:r>
          </w:p>
        </w:tc>
      </w:tr>
      <w:tr>
        <w:tblPrEx>
          <w:tblCellMar>
            <w:top w:w="0" w:type="dxa"/>
            <w:left w:w="108" w:type="dxa"/>
            <w:bottom w:w="0" w:type="dxa"/>
            <w:right w:w="108" w:type="dxa"/>
          </w:tblCellMar>
        </w:tblPrEx>
        <w:trPr>
          <w:trHeight w:val="470" w:hRule="atLeast"/>
        </w:trPr>
        <w:tc>
          <w:tcPr>
            <w:tcW w:w="4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5</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方便食品</w:t>
            </w:r>
          </w:p>
        </w:tc>
        <w:tc>
          <w:tcPr>
            <w:tcW w:w="39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7"/>
              </w:numPr>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质量标准：</w:t>
            </w:r>
            <w:r>
              <w:rPr>
                <w:rFonts w:hint="eastAsia" w:ascii="宋体" w:hAnsi="宋体" w:eastAsia="宋体" w:cs="宋体"/>
                <w:b w:val="0"/>
                <w:bCs w:val="0"/>
                <w:kern w:val="2"/>
                <w:sz w:val="21"/>
                <w:szCs w:val="21"/>
                <w:highlight w:val="none"/>
                <w:lang w:val="en-US" w:eastAsia="zh-CN" w:bidi="ar-SA"/>
              </w:rPr>
              <w:t>符合 GB 17324-2003《食品安全国家标准 瓶（桶）装饮用纯净水卫生标准》、GB 17325-2015《食品安全国家标准　食品工业用浓缩液(汁、浆)卫生标准》</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r>
              <w:rPr>
                <w:rFonts w:hint="eastAsia" w:ascii="宋体" w:hAnsi="宋体" w:eastAsia="宋体" w:cs="宋体"/>
                <w:sz w:val="21"/>
                <w:szCs w:val="21"/>
                <w:highlight w:val="none"/>
                <w:lang w:val="en-US" w:eastAsia="zh-CN"/>
              </w:rPr>
              <w:t>具备SC生产许可证编号。</w:t>
            </w:r>
          </w:p>
          <w:p>
            <w:pPr>
              <w:keepNext w:val="0"/>
              <w:keepLines w:val="0"/>
              <w:widowControl/>
              <w:numPr>
                <w:ilvl w:val="0"/>
                <w:numId w:val="0"/>
              </w:numPr>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（2）质量要求：色泽正常，符合产品固有特性；无异味、无霉变、无虫蛀；固体方便食品（方便面、方便米饭等）形态完整，无结块、无碎渣；配套调料包密封良好，无渗漏、无变质。</w:t>
            </w:r>
          </w:p>
          <w:p>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储存运输：包装牢固，密封良好，无破损、漏气现象；储存于阴凉干燥处，避免潮湿和高温环境；标识清晰完整，包含产品名称、规格、净含量、生产日期、保质期、生产者信息、SC编号、执行标准号、配料表、食用方法等。</w:t>
            </w:r>
          </w:p>
          <w:p>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（4）保质期：距生产日期不超过保质期的1/3，储存过程中需符合产品标注的条件（如阴凉干燥处）避免受潮、变质。</w:t>
            </w:r>
          </w:p>
        </w:tc>
      </w:tr>
      <w:tr>
        <w:tblPrEx>
          <w:tblCellMar>
            <w:top w:w="0" w:type="dxa"/>
            <w:left w:w="108" w:type="dxa"/>
            <w:bottom w:w="0" w:type="dxa"/>
            <w:right w:w="108" w:type="dxa"/>
          </w:tblCellMar>
        </w:tblPrEx>
        <w:trPr>
          <w:trHeight w:val="975" w:hRule="atLeast"/>
        </w:trPr>
        <w:tc>
          <w:tcPr>
            <w:tcW w:w="4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6</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罐头</w:t>
            </w:r>
          </w:p>
        </w:tc>
        <w:tc>
          <w:tcPr>
            <w:tcW w:w="39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8"/>
              </w:numPr>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质量标准：符合 GB 7098-2015《食品安全国家标准 罐头食品》、GB 13100-2005《肉类罐头</w:t>
            </w:r>
            <w:r>
              <w:rPr>
                <w:rFonts w:hint="eastAsia" w:ascii="宋体" w:hAnsi="宋体" w:eastAsia="宋体" w:cs="宋体"/>
                <w:b w:val="0"/>
                <w:bCs w:val="0"/>
                <w:kern w:val="2"/>
                <w:sz w:val="21"/>
                <w:szCs w:val="21"/>
                <w:highlight w:val="none"/>
                <w:lang w:val="en-US" w:eastAsia="zh-CN" w:bidi="ar-SA"/>
              </w:rPr>
              <w:t>卫生标准》、</w:t>
            </w:r>
            <w:r>
              <w:rPr>
                <w:rFonts w:hint="eastAsia" w:ascii="宋体" w:hAnsi="宋体" w:eastAsia="宋体" w:cs="宋体"/>
                <w:sz w:val="21"/>
                <w:szCs w:val="21"/>
                <w:highlight w:val="none"/>
                <w:lang w:val="en-US" w:eastAsia="zh-CN"/>
              </w:rPr>
              <w:t>GB 14939-1994《鱼罐头</w:t>
            </w:r>
            <w:r>
              <w:rPr>
                <w:rFonts w:hint="eastAsia" w:ascii="宋体" w:hAnsi="宋体" w:eastAsia="宋体" w:cs="宋体"/>
                <w:b w:val="0"/>
                <w:bCs w:val="0"/>
                <w:kern w:val="2"/>
                <w:sz w:val="21"/>
                <w:szCs w:val="21"/>
                <w:highlight w:val="none"/>
                <w:lang w:val="en-US" w:eastAsia="zh-CN" w:bidi="ar-SA"/>
              </w:rPr>
              <w:t>卫生标准》</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r>
              <w:rPr>
                <w:rFonts w:hint="eastAsia" w:ascii="宋体" w:hAnsi="宋体" w:eastAsia="宋体" w:cs="宋体"/>
                <w:sz w:val="21"/>
                <w:szCs w:val="21"/>
                <w:highlight w:val="none"/>
                <w:lang w:val="en-US" w:eastAsia="zh-CN"/>
              </w:rPr>
              <w:t>具备SC生产许可证编号。</w:t>
            </w:r>
          </w:p>
          <w:p>
            <w:pPr>
              <w:keepNext w:val="0"/>
              <w:keepLines w:val="0"/>
              <w:widowControl/>
              <w:numPr>
                <w:ilvl w:val="0"/>
                <w:numId w:val="0"/>
              </w:numPr>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质量要求：罐身无变形、无破损、无锈蚀；内容物色泽正常、均匀，具有该类产品应有的气味和滋味，无异味、无霉变、无异物，汤汁清澈（允许有少量正常析出物）。符合对应罐头食品食品安全国家标准，如水果罐头的糖水浓度、pH值符合产品标准；肉类罐头的蛋白质含量、脂肪含量、氯化钠含量符合要求；重金属（铅、镉、汞等）残留量符合限量要求。</w:t>
            </w:r>
          </w:p>
          <w:p>
            <w:pPr>
              <w:keepNext w:val="0"/>
              <w:keepLines w:val="0"/>
              <w:widowControl/>
              <w:numPr>
                <w:ilvl w:val="0"/>
                <w:numId w:val="0"/>
              </w:numPr>
              <w:suppressLineNumbers w:val="0"/>
              <w:ind w:lef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储存运输：采用食品级罐头包装材料，密封性能良好，无漏罐、胀罐现象；标签标识完整，包含产品名称、规格、净含量、生产日期、保质期、生产者信息、食品生产许可证编号、执行标准号、配料表、食用方法等。</w:t>
            </w:r>
          </w:p>
          <w:p>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（4）保质期：距生产日期不超过保质期的1/3，储存过程中避免高温、潮湿，确保罐身完好，无变质。</w:t>
            </w:r>
          </w:p>
          <w:p>
            <w:pPr>
              <w:keepNext w:val="0"/>
              <w:keepLines w:val="0"/>
              <w:widowControl/>
              <w:numPr>
                <w:ilvl w:val="0"/>
                <w:numId w:val="0"/>
              </w:numPr>
              <w:suppressLineNumbers w:val="0"/>
              <w:ind w:leftChars="0"/>
              <w:jc w:val="left"/>
              <w:rPr>
                <w:rFonts w:hint="eastAsia" w:ascii="宋体" w:hAnsi="宋体" w:eastAsia="宋体" w:cs="宋体"/>
                <w:sz w:val="21"/>
                <w:szCs w:val="21"/>
                <w:highlight w:val="none"/>
                <w:lang w:val="en-US" w:eastAsia="zh-CN"/>
              </w:rPr>
            </w:pPr>
          </w:p>
        </w:tc>
      </w:tr>
      <w:tr>
        <w:tblPrEx>
          <w:tblCellMar>
            <w:top w:w="0" w:type="dxa"/>
            <w:left w:w="108" w:type="dxa"/>
            <w:bottom w:w="0" w:type="dxa"/>
            <w:right w:w="108" w:type="dxa"/>
          </w:tblCellMar>
        </w:tblPrEx>
        <w:trPr>
          <w:trHeight w:val="975" w:hRule="atLeast"/>
        </w:trPr>
        <w:tc>
          <w:tcPr>
            <w:tcW w:w="4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7</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茶叶及相关制品</w:t>
            </w:r>
          </w:p>
        </w:tc>
        <w:tc>
          <w:tcPr>
            <w:tcW w:w="39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0"/>
              </w:numPr>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（1）质量标准： </w:t>
            </w:r>
            <w:r>
              <w:rPr>
                <w:rFonts w:hint="eastAsia" w:ascii="宋体" w:hAnsi="宋体" w:eastAsia="宋体" w:cs="宋体"/>
                <w:color w:val="000000"/>
                <w:sz w:val="21"/>
                <w:szCs w:val="21"/>
                <w:highlight w:val="none"/>
                <w:lang w:val="en-US" w:eastAsia="zh-CN"/>
              </w:rPr>
              <w:t xml:space="preserve">符合GB 2762-2022/XG1-2025《 食品安全国家标准 食品中污染物限量（含第1号修改单）》、GB/T 22291-2017 《白茶》、GB/T </w:t>
            </w:r>
            <w:r>
              <w:rPr>
                <w:rFonts w:hint="eastAsia" w:ascii="宋体" w:hAnsi="宋体" w:cs="宋体"/>
                <w:color w:val="000000"/>
                <w:sz w:val="21"/>
                <w:szCs w:val="21"/>
                <w:highlight w:val="none"/>
                <w:lang w:val="en-US" w:eastAsia="zh-CN"/>
              </w:rPr>
              <w:t>13738</w:t>
            </w:r>
            <w:r>
              <w:rPr>
                <w:rFonts w:hint="eastAsia" w:ascii="宋体" w:hAnsi="宋体" w:eastAsia="宋体" w:cs="宋体"/>
                <w:color w:val="000000"/>
                <w:sz w:val="21"/>
                <w:szCs w:val="21"/>
                <w:highlight w:val="none"/>
                <w:lang w:val="en-US" w:eastAsia="zh-CN"/>
              </w:rPr>
              <w:t>-2017 《</w:t>
            </w:r>
            <w:r>
              <w:rPr>
                <w:rFonts w:hint="eastAsia" w:ascii="宋体" w:hAnsi="宋体" w:cs="宋体"/>
                <w:color w:val="000000"/>
                <w:sz w:val="21"/>
                <w:szCs w:val="21"/>
                <w:highlight w:val="none"/>
                <w:lang w:val="en-US" w:eastAsia="zh-CN"/>
              </w:rPr>
              <w:t>红</w:t>
            </w:r>
            <w:r>
              <w:rPr>
                <w:rFonts w:hint="eastAsia" w:ascii="宋体" w:hAnsi="宋体" w:eastAsia="宋体" w:cs="宋体"/>
                <w:color w:val="000000"/>
                <w:sz w:val="21"/>
                <w:szCs w:val="21"/>
                <w:highlight w:val="none"/>
                <w:lang w:val="en-US" w:eastAsia="zh-CN"/>
              </w:rPr>
              <w:t>茶》GB/T 22292-2017 《茉莉花茶》等相</w:t>
            </w:r>
            <w:r>
              <w:rPr>
                <w:rFonts w:hint="eastAsia" w:ascii="宋体" w:hAnsi="宋体" w:cs="宋体"/>
                <w:color w:val="auto"/>
                <w:sz w:val="21"/>
                <w:szCs w:val="21"/>
                <w:highlight w:val="none"/>
                <w:lang w:val="en-US" w:eastAsia="zh-CN"/>
              </w:rPr>
              <w:t>关标准。如有最新标准时按最新标准行。</w:t>
            </w:r>
          </w:p>
          <w:p>
            <w:pPr>
              <w:keepNext w:val="0"/>
              <w:keepLines w:val="0"/>
              <w:widowControl/>
              <w:suppressLineNumbers w:val="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sz w:val="21"/>
                <w:szCs w:val="21"/>
                <w:highlight w:val="none"/>
                <w:lang w:val="en-US" w:eastAsia="zh-CN"/>
              </w:rPr>
              <w:t>质量要求</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色泽正常，符合产品固有特性（如绿茶呈翠绿或黄绿，红茶呈红褐或乌润）；外形整齐，无碎末、无杂质、无霉变；具有产品固有的香气和滋味，无异味、无陈味。符合对应茶叶及相关制品食品安全国家标准，如茶叶的水分含量≤7.0%（绿茶、红茶），总灰分≤6.5%；重金属（铅、镉等）残留量符合限量要求；农药残留量符合国家规定的限量标准。</w:t>
            </w:r>
          </w:p>
          <w:p>
            <w:pPr>
              <w:keepNext w:val="0"/>
              <w:keepLines w:val="0"/>
              <w:widowControl/>
              <w:suppressLineNumbers w:val="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sz w:val="21"/>
                <w:szCs w:val="21"/>
                <w:highlight w:val="none"/>
                <w:lang w:val="en-US" w:eastAsia="zh-CN"/>
              </w:rPr>
              <w:t>储存运输：</w:t>
            </w:r>
            <w:r>
              <w:rPr>
                <w:rFonts w:hint="eastAsia" w:ascii="宋体" w:hAnsi="宋体" w:eastAsia="宋体" w:cs="宋体"/>
                <w:color w:val="000000"/>
                <w:sz w:val="21"/>
                <w:szCs w:val="21"/>
                <w:highlight w:val="none"/>
              </w:rPr>
              <w:t>采用密封、防潮、避光的食品级包装材料；包装牢固，无破损、漏气现象；储存于阴凉干燥、通风良好处，避免潮湿、高温和阳光直射；标识清晰完整，包含产品名称、规格、净含量、生产日期、保质期、生产者信息、SC编号、执行标准号、产品等级等。</w:t>
            </w:r>
          </w:p>
          <w:p>
            <w:pPr>
              <w:keepNext w:val="0"/>
              <w:keepLines w:val="0"/>
              <w:widowControl/>
              <w:suppressLineNumbers w:val="0"/>
              <w:jc w:val="left"/>
              <w:rPr>
                <w:rFonts w:hint="eastAsia" w:ascii="宋体" w:hAnsi="宋体" w:eastAsia="宋体" w:cs="宋体"/>
                <w:color w:val="000000"/>
                <w:sz w:val="21"/>
                <w:szCs w:val="21"/>
                <w:highlight w:val="none"/>
              </w:rPr>
            </w:pPr>
            <w:r>
              <w:rPr>
                <w:rFonts w:hint="eastAsia" w:ascii="宋体" w:hAnsi="宋体" w:eastAsia="宋体" w:cs="宋体"/>
                <w:sz w:val="21"/>
                <w:szCs w:val="21"/>
                <w:highlight w:val="none"/>
                <w:lang w:val="en-US" w:eastAsia="zh-CN"/>
              </w:rPr>
              <w:t>（4）保质期：距生产日期不超过保质期的1/3，储存于阴凉、干燥、通风处，避免阳光直射、潮湿及异味污染。</w:t>
            </w:r>
          </w:p>
          <w:p>
            <w:pP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975" w:hRule="atLeast"/>
        </w:trPr>
        <w:tc>
          <w:tcPr>
            <w:tcW w:w="4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8</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酒类</w:t>
            </w:r>
          </w:p>
        </w:tc>
        <w:tc>
          <w:tcPr>
            <w:tcW w:w="39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9"/>
              </w:numPr>
              <w:suppressLineNumbers w:val="0"/>
              <w:jc w:val="left"/>
              <w:rPr>
                <w:rFonts w:hint="eastAsia" w:ascii="宋体" w:hAnsi="宋体" w:cs="宋体"/>
                <w:color w:val="auto"/>
                <w:sz w:val="21"/>
                <w:szCs w:val="21"/>
                <w:highlight w:val="none"/>
                <w:lang w:val="en-US" w:eastAsia="zh-CN"/>
              </w:rPr>
            </w:pPr>
            <w:r>
              <w:rPr>
                <w:rFonts w:hint="eastAsia" w:ascii="宋体" w:hAnsi="宋体" w:eastAsia="宋体" w:cs="宋体"/>
                <w:sz w:val="21"/>
                <w:szCs w:val="21"/>
                <w:highlight w:val="none"/>
                <w:lang w:val="en-US" w:eastAsia="zh-CN"/>
              </w:rPr>
              <w:t>质量标准：</w:t>
            </w:r>
            <w:r>
              <w:rPr>
                <w:rFonts w:hint="eastAsia" w:ascii="宋体" w:hAnsi="宋体" w:eastAsia="宋体" w:cs="宋体"/>
                <w:color w:val="000000"/>
                <w:sz w:val="21"/>
                <w:szCs w:val="21"/>
                <w:highlight w:val="none"/>
              </w:rPr>
              <w:t>符合GB 27</w:t>
            </w:r>
            <w:r>
              <w:rPr>
                <w:rFonts w:hint="eastAsia" w:ascii="宋体" w:hAnsi="宋体" w:eastAsia="宋体" w:cs="宋体"/>
                <w:color w:val="000000"/>
                <w:sz w:val="21"/>
                <w:szCs w:val="21"/>
                <w:highlight w:val="none"/>
                <w:lang w:val="en-US" w:eastAsia="zh-CN"/>
              </w:rPr>
              <w:t>57</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 xml:space="preserve">2012 </w:t>
            </w:r>
            <w:r>
              <w:rPr>
                <w:rFonts w:hint="eastAsia" w:ascii="宋体" w:hAnsi="宋体" w:eastAsia="宋体" w:cs="宋体"/>
                <w:color w:val="000000"/>
                <w:sz w:val="21"/>
                <w:szCs w:val="21"/>
                <w:highlight w:val="none"/>
              </w:rPr>
              <w:t>《食品安全国家标准 蒸馏酒及其配制酒》</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GB/T 10781.4-2024《</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白酒质量要求 第4部分：酱香型白酒</w:t>
            </w:r>
            <w:r>
              <w:rPr>
                <w:rFonts w:hint="eastAsia" w:ascii="宋体" w:hAnsi="宋体" w:eastAsia="宋体" w:cs="宋体"/>
                <w:color w:val="000000"/>
                <w:sz w:val="21"/>
                <w:szCs w:val="21"/>
                <w:highlight w:val="none"/>
                <w:lang w:eastAsia="zh-CN"/>
              </w:rPr>
              <w:t>》</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GB/T 10781.4-202</w:t>
            </w: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白酒质量要求 第</w:t>
            </w: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rPr>
              <w:t>部分：</w:t>
            </w:r>
            <w:r>
              <w:rPr>
                <w:rFonts w:hint="eastAsia" w:ascii="宋体" w:hAnsi="宋体" w:cs="宋体"/>
                <w:color w:val="000000"/>
                <w:sz w:val="21"/>
                <w:szCs w:val="21"/>
                <w:highlight w:val="none"/>
                <w:lang w:val="en-US" w:eastAsia="zh-CN"/>
              </w:rPr>
              <w:t>浓香</w:t>
            </w:r>
            <w:r>
              <w:rPr>
                <w:rFonts w:hint="eastAsia" w:ascii="宋体" w:hAnsi="宋体" w:eastAsia="宋体" w:cs="宋体"/>
                <w:color w:val="000000"/>
                <w:sz w:val="21"/>
                <w:szCs w:val="21"/>
                <w:highlight w:val="none"/>
              </w:rPr>
              <w:t>型白酒</w:t>
            </w:r>
            <w:r>
              <w:rPr>
                <w:rFonts w:hint="eastAsia" w:ascii="宋体" w:hAnsi="宋体" w:eastAsia="宋体" w:cs="宋体"/>
                <w:color w:val="000000"/>
                <w:sz w:val="21"/>
                <w:szCs w:val="21"/>
                <w:highlight w:val="none"/>
                <w:lang w:eastAsia="zh-CN"/>
              </w:rPr>
              <w:t>》</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p>
          <w:p>
            <w:pPr>
              <w:keepNext w:val="0"/>
              <w:keepLines w:val="0"/>
              <w:widowControl/>
              <w:numPr>
                <w:ilvl w:val="0"/>
                <w:numId w:val="0"/>
              </w:numPr>
              <w:suppressLineNumbers w:val="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sz w:val="21"/>
                <w:szCs w:val="21"/>
                <w:highlight w:val="none"/>
                <w:lang w:val="en-US" w:eastAsia="zh-CN"/>
              </w:rPr>
              <w:t>质量</w:t>
            </w:r>
            <w:r>
              <w:rPr>
                <w:rFonts w:hint="eastAsia" w:ascii="宋体" w:hAnsi="宋体" w:eastAsia="宋体" w:cs="宋体"/>
                <w:color w:val="000000"/>
                <w:sz w:val="21"/>
                <w:szCs w:val="21"/>
                <w:highlight w:val="none"/>
                <w:lang w:val="en-US" w:eastAsia="zh-CN"/>
              </w:rPr>
              <w:t>要求：</w:t>
            </w:r>
            <w:r>
              <w:rPr>
                <w:rFonts w:hint="eastAsia" w:ascii="宋体" w:hAnsi="宋体" w:eastAsia="宋体" w:cs="宋体"/>
                <w:color w:val="000000"/>
                <w:sz w:val="21"/>
                <w:szCs w:val="21"/>
                <w:highlight w:val="none"/>
              </w:rPr>
              <w:t>色泽正常，符合产品固有特性（如白酒无色透明，啤酒呈淡黄色，葡萄酒呈紫红或深红）；澄清透明（啤酒允许有少量泡沫和蛋白质沉淀）；具有产品固有的香气和滋味，无异味、无杂味、无沉淀变质现象。</w:t>
            </w:r>
          </w:p>
          <w:p>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lang w:val="en-US" w:eastAsia="zh-CN"/>
              </w:rPr>
              <w:t>（</w:t>
            </w:r>
            <w:r>
              <w:rPr>
                <w:rFonts w:hint="eastAsia" w:ascii="宋体" w:hAnsi="宋体" w:eastAsia="宋体" w:cs="宋体"/>
                <w:sz w:val="21"/>
                <w:szCs w:val="21"/>
                <w:highlight w:val="none"/>
                <w:lang w:val="en-US" w:eastAsia="zh-CN"/>
              </w:rPr>
              <w:t>3）储存运输：包装密封良好，无破损、漏液现象；玻璃瓶装酒类需防碰撞；储存于阴凉干燥处，避免阳光直射和高温环境；标识清晰完整，包含产品名称、规格、净含量、生产日期、保质期、生产者信息、SC编号、执行标准号、酒精度、配料表等。进口酒类需提供海关单及检验检疫证明。</w:t>
            </w:r>
          </w:p>
          <w:p>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（4）保质期：符合对应酒类产品的保质期要求（部分酒类无明确保质期的，需标注储存条件），运输及储存过程中避免高温、碰撞。</w:t>
            </w:r>
          </w:p>
          <w:p>
            <w:pPr>
              <w:keepNext w:val="0"/>
              <w:keepLines w:val="0"/>
              <w:widowControl/>
              <w:suppressLineNumbers w:val="0"/>
              <w:jc w:val="left"/>
              <w:rPr>
                <w:rFonts w:hint="eastAsia" w:ascii="宋体" w:hAnsi="宋体" w:eastAsia="宋体" w:cs="宋体"/>
                <w:sz w:val="21"/>
                <w:szCs w:val="21"/>
                <w:highlight w:val="none"/>
                <w:lang w:val="en-US" w:eastAsia="zh-CN"/>
              </w:rPr>
            </w:pPr>
          </w:p>
        </w:tc>
      </w:tr>
      <w:tr>
        <w:tblPrEx>
          <w:tblCellMar>
            <w:top w:w="0" w:type="dxa"/>
            <w:left w:w="108" w:type="dxa"/>
            <w:bottom w:w="0" w:type="dxa"/>
            <w:right w:w="108" w:type="dxa"/>
          </w:tblCellMar>
        </w:tblPrEx>
        <w:trPr>
          <w:trHeight w:val="3953" w:hRule="atLeast"/>
        </w:trPr>
        <w:tc>
          <w:tcPr>
            <w:tcW w:w="4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9</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蔬菜制品</w:t>
            </w:r>
          </w:p>
        </w:tc>
        <w:tc>
          <w:tcPr>
            <w:tcW w:w="39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0"/>
              </w:numPr>
              <w:suppressLineNumbers w:val="0"/>
              <w:jc w:val="left"/>
              <w:rPr>
                <w:rFonts w:hint="eastAsia" w:ascii="宋体" w:hAnsi="宋体" w:cs="宋体"/>
                <w:color w:val="auto"/>
                <w:sz w:val="21"/>
                <w:szCs w:val="21"/>
                <w:highlight w:val="none"/>
                <w:lang w:val="en-US" w:eastAsia="zh-CN"/>
              </w:rPr>
            </w:pPr>
            <w:r>
              <w:rPr>
                <w:rFonts w:hint="eastAsia" w:ascii="宋体" w:hAnsi="宋体" w:eastAsia="宋体" w:cs="宋体"/>
                <w:sz w:val="21"/>
                <w:szCs w:val="21"/>
                <w:highlight w:val="none"/>
                <w:lang w:val="en-US" w:eastAsia="zh-CN"/>
              </w:rPr>
              <w:t xml:space="preserve">质量标准： </w:t>
            </w:r>
            <w:r>
              <w:rPr>
                <w:rFonts w:hint="eastAsia" w:ascii="宋体" w:hAnsi="宋体" w:eastAsia="宋体" w:cs="宋体"/>
                <w:color w:val="000000"/>
                <w:sz w:val="21"/>
                <w:szCs w:val="21"/>
                <w:highlight w:val="none"/>
              </w:rPr>
              <w:t xml:space="preserve">符合GB </w:t>
            </w:r>
            <w:r>
              <w:rPr>
                <w:rFonts w:hint="eastAsia" w:ascii="宋体" w:hAnsi="宋体" w:eastAsia="宋体" w:cs="宋体"/>
                <w:color w:val="000000"/>
                <w:sz w:val="21"/>
                <w:szCs w:val="21"/>
                <w:highlight w:val="none"/>
                <w:lang w:val="en-US" w:eastAsia="zh-CN"/>
              </w:rPr>
              <w:t>2714</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 xml:space="preserve">2015 </w:t>
            </w:r>
            <w:r>
              <w:rPr>
                <w:rFonts w:hint="eastAsia" w:ascii="宋体" w:hAnsi="宋体" w:eastAsia="宋体" w:cs="宋体"/>
                <w:color w:val="000000"/>
                <w:sz w:val="21"/>
                <w:szCs w:val="21"/>
                <w:highlight w:val="none"/>
              </w:rPr>
              <w:t>《食品安全国家标准 酱腌菜》</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p>
          <w:p>
            <w:pPr>
              <w:keepNext w:val="0"/>
              <w:keepLines w:val="0"/>
              <w:widowControl/>
              <w:numPr>
                <w:ilvl w:val="0"/>
                <w:numId w:val="0"/>
              </w:numPr>
              <w:suppressLineNumbers w:val="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sz w:val="21"/>
                <w:szCs w:val="21"/>
                <w:highlight w:val="none"/>
                <w:lang w:val="en-US" w:eastAsia="zh-CN"/>
              </w:rPr>
              <w:t>质量要求</w:t>
            </w:r>
            <w:r>
              <w:rPr>
                <w:rFonts w:hint="eastAsia" w:ascii="宋体" w:hAnsi="宋体" w:eastAsia="宋体" w:cs="宋体"/>
                <w:color w:val="000000"/>
                <w:sz w:val="21"/>
                <w:szCs w:val="21"/>
                <w:highlight w:val="none"/>
                <w:lang w:val="en-US" w:eastAsia="zh-CN"/>
              </w:rPr>
              <w:t>：色泽正常，符合产品固有特性（如酱腌菜呈黄褐色或棕褐色）；质地脆嫩（或柔软，符合产品特性），无软烂、无霉变；具有产品固有的香味和滋味，无异味、无腐败味</w:t>
            </w:r>
            <w:r>
              <w:rPr>
                <w:rFonts w:hint="eastAsia" w:ascii="宋体" w:hAnsi="宋体" w:eastAsia="宋体" w:cs="宋体"/>
                <w:sz w:val="21"/>
                <w:szCs w:val="21"/>
                <w:highlight w:val="none"/>
                <w:lang w:val="en-US" w:eastAsia="zh-CN"/>
              </w:rPr>
              <w:t>；无可见异物和杂质。</w:t>
            </w:r>
            <w:r>
              <w:rPr>
                <w:rFonts w:hint="eastAsia" w:ascii="宋体" w:hAnsi="宋体" w:eastAsia="宋体" w:cs="宋体"/>
                <w:sz w:val="21"/>
                <w:szCs w:val="21"/>
                <w:highlight w:val="none"/>
              </w:rPr>
              <w:t>符合对应蔬菜制品食品安全国家标准，如酱腌菜的水分含量、氯化钠含量、总酸含量符合要求；脱水蔬菜的水分含量≤12.0%；重金属（铅、镉等）残留量符合限量要求；亚硝酸盐残留量符合限量要求。</w:t>
            </w:r>
          </w:p>
          <w:p>
            <w:pPr>
              <w:keepNext w:val="0"/>
              <w:keepLines w:val="0"/>
              <w:widowControl/>
              <w:suppressLineNumbers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r>
              <w:rPr>
                <w:rFonts w:hint="eastAsia" w:ascii="宋体" w:hAnsi="宋体" w:eastAsia="宋体" w:cs="宋体"/>
                <w:sz w:val="21"/>
                <w:szCs w:val="21"/>
                <w:highlight w:val="none"/>
                <w:lang w:val="en-US" w:eastAsia="zh-CN"/>
              </w:rPr>
              <w:t>3）储存运输：</w:t>
            </w:r>
            <w:r>
              <w:rPr>
                <w:rFonts w:hint="eastAsia" w:ascii="宋体" w:hAnsi="宋体" w:eastAsia="宋体" w:cs="宋体"/>
                <w:color w:val="000000"/>
                <w:sz w:val="21"/>
                <w:szCs w:val="21"/>
                <w:highlight w:val="none"/>
                <w:lang w:val="en-US" w:eastAsia="zh-CN"/>
              </w:rPr>
              <w:t>采用食品级包装材料，密封完好，无破损、渗漏现象，防潮、防污染；标签标识完整，包含产品名称、规格、净含量、生产日期、保质期、储存条件、生产者信息、食品生产许可证编号、执行标准号、配料表等。</w:t>
            </w:r>
          </w:p>
          <w:p>
            <w:pPr>
              <w:keepNext w:val="0"/>
              <w:keepLines w:val="0"/>
              <w:widowControl/>
              <w:suppressLineNumbers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（4）保质期：距生产日期不超过保质期的1/3，储存过程中符合产品标注条件，避免受潮、变质。</w:t>
            </w:r>
          </w:p>
        </w:tc>
      </w:tr>
      <w:tr>
        <w:tblPrEx>
          <w:tblCellMar>
            <w:top w:w="0" w:type="dxa"/>
            <w:left w:w="108" w:type="dxa"/>
            <w:bottom w:w="0" w:type="dxa"/>
            <w:right w:w="108" w:type="dxa"/>
          </w:tblCellMar>
        </w:tblPrEx>
        <w:trPr>
          <w:trHeight w:val="975" w:hRule="atLeast"/>
        </w:trPr>
        <w:tc>
          <w:tcPr>
            <w:tcW w:w="4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10</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水果制品</w:t>
            </w:r>
          </w:p>
        </w:tc>
        <w:tc>
          <w:tcPr>
            <w:tcW w:w="39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1"/>
              </w:numPr>
              <w:suppressLineNumbers w:val="0"/>
              <w:jc w:val="left"/>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质量标准： </w:t>
            </w:r>
            <w:r>
              <w:rPr>
                <w:rFonts w:hint="eastAsia" w:ascii="宋体" w:hAnsi="宋体" w:eastAsia="宋体" w:cs="宋体"/>
                <w:color w:val="auto"/>
                <w:sz w:val="21"/>
                <w:szCs w:val="21"/>
                <w:highlight w:val="none"/>
              </w:rPr>
              <w:t xml:space="preserve">符合GB </w:t>
            </w:r>
            <w:r>
              <w:rPr>
                <w:rFonts w:hint="eastAsia" w:ascii="宋体" w:hAnsi="宋体" w:eastAsia="宋体" w:cs="宋体"/>
                <w:color w:val="auto"/>
                <w:sz w:val="21"/>
                <w:szCs w:val="21"/>
                <w:highlight w:val="none"/>
                <w:lang w:val="en-US" w:eastAsia="zh-CN"/>
              </w:rPr>
              <w:t>14484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2016 </w:t>
            </w:r>
            <w:r>
              <w:rPr>
                <w:rFonts w:hint="eastAsia" w:ascii="宋体" w:hAnsi="宋体" w:eastAsia="宋体" w:cs="宋体"/>
                <w:color w:val="auto"/>
                <w:sz w:val="21"/>
                <w:szCs w:val="21"/>
                <w:highlight w:val="none"/>
              </w:rPr>
              <w:t xml:space="preserve">《食品安全国家标准 </w:t>
            </w:r>
            <w:r>
              <w:rPr>
                <w:rFonts w:hint="eastAsia" w:ascii="宋体" w:hAnsi="宋体" w:eastAsia="宋体" w:cs="宋体"/>
                <w:color w:val="auto"/>
                <w:sz w:val="21"/>
                <w:szCs w:val="21"/>
                <w:highlight w:val="none"/>
                <w:lang w:val="en-US" w:eastAsia="zh-CN"/>
              </w:rPr>
              <w:t>蜜饯</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等相关标准。如有最新标准时按最新标准行。</w:t>
            </w:r>
          </w:p>
          <w:p>
            <w:pPr>
              <w:keepNext w:val="0"/>
              <w:keepLines w:val="0"/>
              <w:widowControl/>
              <w:numPr>
                <w:ilvl w:val="0"/>
                <w:numId w:val="0"/>
              </w:numPr>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质量要求：色泽正常，符合产品固有特性（如蜜饯呈金黄色或棕红色，果蔬脆片呈原料固有色泽）；形态完整，无破损、无霉变、无虫蛀；具有产品固有的香味和滋味，无异味、无焦味；无可见异物和杂质。</w:t>
            </w:r>
          </w:p>
          <w:p>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储存运输：包装密封良好，无破损、漏气现象；采用防潮、避光的食品级包装材料；储存于阴凉干燥处，避免潮湿、高温和阳光直射；标识清晰完整，包含产品名称、规格、净含量、生产日期、保质期、生产者信息、SC编号、执行标准号、配料表等。</w:t>
            </w:r>
          </w:p>
          <w:p>
            <w:pPr>
              <w:keepNext w:val="0"/>
              <w:keepLines w:val="0"/>
              <w:widowControl/>
              <w:suppressLineNumbers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auto"/>
                <w:sz w:val="21"/>
                <w:szCs w:val="21"/>
                <w:highlight w:val="none"/>
                <w:lang w:val="en-US" w:eastAsia="zh-CN"/>
              </w:rPr>
              <w:t>（4）保质期：距生产日期不超过保</w:t>
            </w:r>
            <w:r>
              <w:rPr>
                <w:rFonts w:hint="eastAsia" w:ascii="宋体" w:hAnsi="宋体" w:eastAsia="宋体" w:cs="宋体"/>
                <w:color w:val="000000"/>
                <w:sz w:val="21"/>
                <w:szCs w:val="21"/>
                <w:highlight w:val="none"/>
                <w:lang w:val="en-US" w:eastAsia="zh-CN"/>
              </w:rPr>
              <w:t>质期的1/3，储存于阴凉干燥处，避免阳光直射、潮湿。</w:t>
            </w:r>
          </w:p>
        </w:tc>
      </w:tr>
      <w:tr>
        <w:tblPrEx>
          <w:tblCellMar>
            <w:top w:w="0" w:type="dxa"/>
            <w:left w:w="108" w:type="dxa"/>
            <w:bottom w:w="0" w:type="dxa"/>
            <w:right w:w="108" w:type="dxa"/>
          </w:tblCellMar>
        </w:tblPrEx>
        <w:trPr>
          <w:trHeight w:val="975" w:hRule="atLeast"/>
        </w:trPr>
        <w:tc>
          <w:tcPr>
            <w:tcW w:w="4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r>
              <w:rPr>
                <w:rFonts w:hint="eastAsia" w:ascii="宋体" w:hAnsi="宋体" w:cs="宋体"/>
                <w:color w:val="000000"/>
                <w:kern w:val="0"/>
                <w:sz w:val="21"/>
                <w:szCs w:val="21"/>
                <w:highlight w:val="none"/>
                <w:lang w:val="en-US" w:eastAsia="zh-CN"/>
              </w:rPr>
              <w:t>1</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炒货食品及坚果制品</w:t>
            </w:r>
          </w:p>
        </w:tc>
        <w:tc>
          <w:tcPr>
            <w:tcW w:w="39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2"/>
              </w:numPr>
              <w:suppressLineNumbers w:val="0"/>
              <w:jc w:val="left"/>
              <w:rPr>
                <w:rFonts w:hint="eastAsia" w:ascii="宋体" w:hAnsi="宋体" w:cs="宋体"/>
                <w:color w:val="auto"/>
                <w:sz w:val="21"/>
                <w:szCs w:val="21"/>
                <w:highlight w:val="none"/>
                <w:lang w:val="en-US" w:eastAsia="zh-CN"/>
              </w:rPr>
            </w:pPr>
            <w:r>
              <w:rPr>
                <w:rFonts w:hint="eastAsia" w:ascii="宋体" w:hAnsi="宋体" w:eastAsia="宋体" w:cs="宋体"/>
                <w:sz w:val="21"/>
                <w:szCs w:val="21"/>
                <w:highlight w:val="none"/>
                <w:lang w:val="en-US" w:eastAsia="zh-CN"/>
              </w:rPr>
              <w:t xml:space="preserve">质量标准： </w:t>
            </w:r>
            <w:r>
              <w:rPr>
                <w:rFonts w:hint="eastAsia" w:ascii="宋体" w:hAnsi="宋体" w:eastAsia="宋体" w:cs="宋体"/>
                <w:color w:val="000000"/>
                <w:sz w:val="21"/>
                <w:szCs w:val="21"/>
                <w:highlight w:val="none"/>
              </w:rPr>
              <w:t xml:space="preserve">符合GB </w:t>
            </w:r>
            <w:r>
              <w:rPr>
                <w:rFonts w:hint="eastAsia" w:ascii="宋体" w:hAnsi="宋体" w:eastAsia="宋体" w:cs="宋体"/>
                <w:color w:val="000000"/>
                <w:sz w:val="21"/>
                <w:szCs w:val="21"/>
                <w:highlight w:val="none"/>
                <w:lang w:val="en-US" w:eastAsia="zh-CN"/>
              </w:rPr>
              <w:t>19300</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 xml:space="preserve">2014 </w:t>
            </w:r>
            <w:r>
              <w:rPr>
                <w:rFonts w:hint="eastAsia" w:ascii="宋体" w:hAnsi="宋体" w:eastAsia="宋体" w:cs="宋体"/>
                <w:color w:val="000000"/>
                <w:sz w:val="21"/>
                <w:szCs w:val="21"/>
                <w:highlight w:val="none"/>
              </w:rPr>
              <w:t>《食品安全国家标准</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坚果与籽类食品》</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p>
          <w:p>
            <w:pPr>
              <w:keepNext w:val="0"/>
              <w:keepLines w:val="0"/>
              <w:widowControl/>
              <w:numPr>
                <w:ilvl w:val="0"/>
                <w:numId w:val="0"/>
              </w:numPr>
              <w:suppressLineNumbers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auto"/>
                <w:sz w:val="21"/>
                <w:szCs w:val="21"/>
                <w:highlight w:val="none"/>
                <w:lang w:val="en-US" w:eastAsia="zh-CN"/>
              </w:rPr>
              <w:t>（2）质量要求：</w:t>
            </w:r>
            <w:r>
              <w:rPr>
                <w:rFonts w:hint="eastAsia" w:ascii="宋体" w:hAnsi="宋体" w:eastAsia="宋体" w:cs="宋体"/>
                <w:color w:val="000000"/>
                <w:sz w:val="21"/>
                <w:szCs w:val="21"/>
                <w:highlight w:val="none"/>
                <w:lang w:val="en-US" w:eastAsia="zh-CN"/>
              </w:rPr>
              <w:t>色泽正常，符合产品固有特性（如瓜子呈浅褐色或金黄色，核桃呈黄褐色）；形态完整，无霉变、无虫蛀、无哈喇味；口感酥脆（或软糯，符合产品特性），无异味、无焦味；无可见异物和杂质。</w:t>
            </w:r>
          </w:p>
          <w:p>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lang w:val="en-US"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color w:val="auto"/>
                <w:sz w:val="21"/>
                <w:szCs w:val="21"/>
                <w:highlight w:val="none"/>
                <w:lang w:val="en-US" w:eastAsia="zh-CN"/>
              </w:rPr>
              <w:t>储存运输</w:t>
            </w:r>
            <w:r>
              <w:rPr>
                <w:rFonts w:hint="eastAsia" w:ascii="宋体" w:hAnsi="宋体" w:eastAsia="宋体" w:cs="宋体"/>
                <w:sz w:val="21"/>
                <w:szCs w:val="21"/>
                <w:highlight w:val="none"/>
                <w:lang w:val="en-US" w:eastAsia="zh-CN"/>
              </w:rPr>
              <w:t>：包装密封良好，无破损、漏气现象；采用防潮、避光的食品级包装材料；储存于阴凉干燥处，避免潮湿、高温和阳光直射；标识清晰完整，包含产品名称、规格、净含量、生产日期、保质期、生产者信息、SC编号、执行标准号、配料表等。</w:t>
            </w:r>
          </w:p>
          <w:p>
            <w:pPr>
              <w:keepNext w:val="0"/>
              <w:keepLines w:val="0"/>
              <w:widowControl/>
              <w:suppressLineNumbers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1"/>
                <w:szCs w:val="21"/>
                <w:highlight w:val="none"/>
                <w:lang w:val="en-US" w:eastAsia="zh-CN"/>
              </w:rPr>
              <w:t>（4）保质期</w:t>
            </w:r>
            <w:r>
              <w:rPr>
                <w:rFonts w:hint="eastAsia" w:ascii="宋体" w:hAnsi="宋体" w:eastAsia="宋体" w:cs="宋体"/>
                <w:color w:val="000000"/>
                <w:sz w:val="21"/>
                <w:szCs w:val="21"/>
                <w:highlight w:val="none"/>
                <w:lang w:val="en-US" w:eastAsia="zh-CN"/>
              </w:rPr>
              <w:t>：距生产日期不超过保质期的1/3，储存于阴凉干燥处，避免高温、潮湿及异味污染。</w:t>
            </w:r>
          </w:p>
        </w:tc>
      </w:tr>
      <w:tr>
        <w:tblPrEx>
          <w:tblCellMar>
            <w:top w:w="0" w:type="dxa"/>
            <w:left w:w="108" w:type="dxa"/>
            <w:bottom w:w="0" w:type="dxa"/>
            <w:right w:w="108" w:type="dxa"/>
          </w:tblCellMar>
        </w:tblPrEx>
        <w:trPr>
          <w:trHeight w:val="530" w:hRule="atLeast"/>
        </w:trPr>
        <w:tc>
          <w:tcPr>
            <w:tcW w:w="4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r>
              <w:rPr>
                <w:rFonts w:hint="eastAsia" w:ascii="宋体" w:hAnsi="宋体" w:cs="宋体"/>
                <w:color w:val="000000"/>
                <w:kern w:val="0"/>
                <w:sz w:val="21"/>
                <w:szCs w:val="21"/>
                <w:highlight w:val="none"/>
                <w:lang w:val="en-US" w:eastAsia="zh-CN"/>
              </w:rPr>
              <w:t>2</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蛋制品</w:t>
            </w:r>
          </w:p>
        </w:tc>
        <w:tc>
          <w:tcPr>
            <w:tcW w:w="39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3"/>
              </w:numPr>
              <w:suppressLineNumbers w:val="0"/>
              <w:jc w:val="left"/>
              <w:rPr>
                <w:rFonts w:hint="eastAsia" w:ascii="宋体" w:hAnsi="宋体" w:cs="宋体"/>
                <w:color w:val="auto"/>
                <w:sz w:val="21"/>
                <w:szCs w:val="21"/>
                <w:highlight w:val="none"/>
                <w:lang w:val="en-US" w:eastAsia="zh-CN"/>
              </w:rPr>
            </w:pPr>
            <w:r>
              <w:rPr>
                <w:rFonts w:hint="eastAsia" w:ascii="宋体" w:hAnsi="宋体" w:eastAsia="宋体" w:cs="宋体"/>
                <w:sz w:val="21"/>
                <w:szCs w:val="21"/>
                <w:highlight w:val="none"/>
                <w:lang w:val="en-US" w:eastAsia="zh-CN"/>
              </w:rPr>
              <w:t>质量标准： 符合GB 2749-2015 《食品安全国家标准 蛋与蛋制品》、GB/T 23970-2022 《卤蛋质量通则》</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p>
          <w:p>
            <w:pPr>
              <w:keepNext w:val="0"/>
              <w:keepLines w:val="0"/>
              <w:widowControl/>
              <w:numPr>
                <w:ilvl w:val="0"/>
                <w:numId w:val="0"/>
              </w:numPr>
              <w:suppressLineNumbers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auto"/>
                <w:sz w:val="21"/>
                <w:szCs w:val="21"/>
                <w:highlight w:val="none"/>
                <w:lang w:val="en-US" w:eastAsia="zh-CN"/>
              </w:rPr>
              <w:t>质量要求</w:t>
            </w:r>
            <w:r>
              <w:rPr>
                <w:rFonts w:hint="eastAsia" w:ascii="宋体" w:hAnsi="宋体" w:eastAsia="宋体" w:cs="宋体"/>
                <w:color w:val="000000"/>
                <w:sz w:val="21"/>
                <w:szCs w:val="21"/>
                <w:highlight w:val="none"/>
                <w:lang w:val="en-US" w:eastAsia="zh-CN"/>
              </w:rPr>
              <w:t>：色泽正常，符合产品固有特性（如卤蛋呈黄褐色或棕红色，皮蛋呈墨绿色或棕褐色）；形态完整，无破损、无霉变；具有产品固有的香味和滋味，无异味、无腐败味；蛋白质地细腻，蛋黄口感正常（无硬心、无异味）。</w:t>
            </w:r>
          </w:p>
          <w:p>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lang w:val="en-US"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color w:val="auto"/>
                <w:sz w:val="21"/>
                <w:szCs w:val="21"/>
                <w:highlight w:val="none"/>
                <w:lang w:val="en-US" w:eastAsia="zh-CN"/>
              </w:rPr>
              <w:t>储存运输</w:t>
            </w:r>
            <w:r>
              <w:rPr>
                <w:rFonts w:hint="eastAsia" w:ascii="宋体" w:hAnsi="宋体" w:eastAsia="宋体" w:cs="宋体"/>
                <w:sz w:val="21"/>
                <w:szCs w:val="21"/>
                <w:highlight w:val="none"/>
                <w:lang w:val="en-US" w:eastAsia="zh-CN"/>
              </w:rPr>
              <w:t>：包装密封良好，无破损、渗漏现象；鲜蛋制品需冷链运输储存（温度0-4℃）；储存于阴凉干燥处，避免高温和潮湿环境；标识清晰完整，包含产品名称、规格、净含量、生产日期、保质期、生产者信息、SC编号、执行标准号、配料表等。</w:t>
            </w:r>
          </w:p>
          <w:p>
            <w:pPr>
              <w:keepNext w:val="0"/>
              <w:keepLines w:val="0"/>
              <w:widowControl/>
              <w:suppressLineNumbers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1"/>
                <w:szCs w:val="21"/>
                <w:highlight w:val="none"/>
                <w:lang w:val="en-US" w:eastAsia="zh-CN"/>
              </w:rPr>
              <w:t>（4）保质期：距生产日期不超过保质期的1/3，储存过程中符合产品标注条件，避免高温、潮湿。</w:t>
            </w:r>
          </w:p>
        </w:tc>
      </w:tr>
      <w:tr>
        <w:tblPrEx>
          <w:tblCellMar>
            <w:top w:w="0" w:type="dxa"/>
            <w:left w:w="108" w:type="dxa"/>
            <w:bottom w:w="0" w:type="dxa"/>
            <w:right w:w="108" w:type="dxa"/>
          </w:tblCellMar>
        </w:tblPrEx>
        <w:trPr>
          <w:trHeight w:val="975" w:hRule="atLeast"/>
        </w:trPr>
        <w:tc>
          <w:tcPr>
            <w:tcW w:w="4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r>
              <w:rPr>
                <w:rFonts w:hint="eastAsia" w:ascii="宋体" w:hAnsi="宋体" w:cs="宋体"/>
                <w:color w:val="000000"/>
                <w:kern w:val="0"/>
                <w:sz w:val="21"/>
                <w:szCs w:val="21"/>
                <w:highlight w:val="none"/>
                <w:lang w:val="en-US" w:eastAsia="zh-CN"/>
              </w:rPr>
              <w:t>3</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食糖</w:t>
            </w:r>
          </w:p>
        </w:tc>
        <w:tc>
          <w:tcPr>
            <w:tcW w:w="39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4"/>
              </w:numPr>
              <w:suppressLineNumbers w:val="0"/>
              <w:jc w:val="left"/>
              <w:rPr>
                <w:rFonts w:hint="eastAsia" w:ascii="宋体" w:hAnsi="宋体" w:cs="宋体"/>
                <w:color w:val="auto"/>
                <w:sz w:val="21"/>
                <w:szCs w:val="21"/>
                <w:highlight w:val="none"/>
                <w:lang w:val="en-US" w:eastAsia="zh-CN"/>
              </w:rPr>
            </w:pPr>
            <w:r>
              <w:rPr>
                <w:rFonts w:hint="eastAsia" w:ascii="宋体" w:hAnsi="宋体" w:eastAsia="宋体" w:cs="宋体"/>
                <w:sz w:val="21"/>
                <w:szCs w:val="21"/>
                <w:highlight w:val="none"/>
                <w:lang w:val="en-US" w:eastAsia="zh-CN"/>
              </w:rPr>
              <w:t xml:space="preserve">质量标准： </w:t>
            </w:r>
            <w:r>
              <w:rPr>
                <w:rFonts w:hint="eastAsia" w:ascii="宋体" w:hAnsi="宋体" w:eastAsia="宋体" w:cs="宋体"/>
                <w:color w:val="000000"/>
                <w:sz w:val="21"/>
                <w:szCs w:val="21"/>
                <w:highlight w:val="none"/>
              </w:rPr>
              <w:t xml:space="preserve">符合GB </w:t>
            </w:r>
            <w:r>
              <w:rPr>
                <w:rFonts w:hint="eastAsia" w:ascii="宋体" w:hAnsi="宋体" w:eastAsia="宋体" w:cs="宋体"/>
                <w:color w:val="000000"/>
                <w:sz w:val="21"/>
                <w:szCs w:val="21"/>
                <w:highlight w:val="none"/>
                <w:lang w:val="en-US" w:eastAsia="zh-CN"/>
              </w:rPr>
              <w:t>13104</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 xml:space="preserve">2014 </w:t>
            </w:r>
            <w:r>
              <w:rPr>
                <w:rFonts w:hint="eastAsia" w:ascii="宋体" w:hAnsi="宋体" w:eastAsia="宋体" w:cs="宋体"/>
                <w:color w:val="000000"/>
                <w:sz w:val="21"/>
                <w:szCs w:val="21"/>
                <w:highlight w:val="none"/>
              </w:rPr>
              <w:t xml:space="preserve">《食品安全国家标准 </w:t>
            </w:r>
            <w:r>
              <w:rPr>
                <w:rFonts w:hint="eastAsia" w:ascii="宋体" w:hAnsi="宋体" w:eastAsia="宋体" w:cs="宋体"/>
                <w:color w:val="000000"/>
                <w:sz w:val="21"/>
                <w:szCs w:val="21"/>
                <w:highlight w:val="none"/>
                <w:lang w:val="en-US" w:eastAsia="zh-CN"/>
              </w:rPr>
              <w:t>食糖</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w:t>
            </w:r>
            <w:r>
              <w:rPr>
                <w:rFonts w:hint="eastAsia" w:ascii="宋体" w:hAnsi="宋体" w:eastAsia="宋体" w:cs="宋体"/>
                <w:sz w:val="21"/>
                <w:szCs w:val="21"/>
                <w:highlight w:val="none"/>
                <w:lang w:val="en-US" w:eastAsia="zh-CN"/>
              </w:rPr>
              <w:t>GB</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T 317-2018《白砂糖》</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p>
          <w:p>
            <w:pPr>
              <w:keepNext w:val="0"/>
              <w:keepLines w:val="0"/>
              <w:widowControl/>
              <w:numPr>
                <w:ilvl w:val="0"/>
                <w:numId w:val="0"/>
              </w:numPr>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sz w:val="21"/>
                <w:szCs w:val="21"/>
                <w:highlight w:val="none"/>
                <w:lang w:val="en-US" w:eastAsia="zh-CN"/>
              </w:rPr>
              <w:t>质量要求</w:t>
            </w:r>
            <w:r>
              <w:rPr>
                <w:rFonts w:hint="eastAsia" w:ascii="宋体" w:hAnsi="宋体" w:eastAsia="宋体" w:cs="宋体"/>
                <w:color w:val="auto"/>
                <w:kern w:val="0"/>
                <w:sz w:val="21"/>
                <w:szCs w:val="21"/>
                <w:highlight w:val="none"/>
                <w:lang w:val="en-US" w:eastAsia="zh-CN" w:bidi="ar"/>
              </w:rPr>
              <w:t>：色泽洁白（白砂糖），均匀一致；颗粒均匀（白砂糖），无结块、无杂质、无霉变；具有食糖固有的甜味，无异味、无焦味。</w:t>
            </w:r>
          </w:p>
          <w:p>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sz w:val="21"/>
                <w:szCs w:val="21"/>
                <w:highlight w:val="none"/>
                <w:lang w:val="en-US" w:eastAsia="zh-CN"/>
              </w:rPr>
              <w:t>储存运输</w:t>
            </w:r>
            <w:r>
              <w:rPr>
                <w:rFonts w:hint="eastAsia" w:ascii="宋体" w:hAnsi="宋体" w:eastAsia="宋体" w:cs="宋体"/>
                <w:color w:val="auto"/>
                <w:kern w:val="0"/>
                <w:sz w:val="21"/>
                <w:szCs w:val="21"/>
                <w:highlight w:val="none"/>
                <w:lang w:val="en-US" w:eastAsia="zh-CN" w:bidi="ar"/>
              </w:rPr>
              <w:t>：包装密封良好，无破损、漏气现象</w:t>
            </w:r>
            <w:r>
              <w:rPr>
                <w:rFonts w:hint="eastAsia" w:ascii="宋体" w:hAnsi="宋体" w:eastAsia="宋体" w:cs="宋体"/>
                <w:color w:val="auto"/>
                <w:sz w:val="21"/>
                <w:szCs w:val="21"/>
                <w:highlight w:val="none"/>
                <w:lang w:val="en-US" w:eastAsia="zh-CN"/>
              </w:rPr>
              <w:t>；采用防潮的食品级包装材料；储存于阴凉干燥处，避免潮湿、高温和阳光直射；标识清晰完整，包含产品名称、规格、净含量、生产日期、保质期、生产者信息、SC编号、执行标准号、配料表等。</w:t>
            </w:r>
          </w:p>
          <w:p>
            <w:pPr>
              <w:keepNext w:val="0"/>
              <w:keepLines w:val="0"/>
              <w:widowControl/>
              <w:suppressLineNumbers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auto"/>
                <w:sz w:val="21"/>
                <w:szCs w:val="21"/>
                <w:highlight w:val="none"/>
                <w:lang w:val="en-US" w:eastAsia="zh-CN"/>
              </w:rPr>
              <w:t>（4）保质期：距生产日期不超过保质期的1/3，储存于阴凉干燥处，避免潮湿、</w:t>
            </w:r>
            <w:r>
              <w:rPr>
                <w:rFonts w:hint="eastAsia" w:ascii="宋体" w:hAnsi="宋体" w:eastAsia="宋体" w:cs="宋体"/>
                <w:color w:val="000000"/>
                <w:sz w:val="21"/>
                <w:szCs w:val="21"/>
                <w:highlight w:val="none"/>
                <w:lang w:val="en-US" w:eastAsia="zh-CN"/>
              </w:rPr>
              <w:t>结块。</w:t>
            </w:r>
          </w:p>
          <w:p>
            <w:pPr>
              <w:keepNext w:val="0"/>
              <w:keepLines w:val="0"/>
              <w:widowControl/>
              <w:suppressLineNumbers w:val="0"/>
              <w:jc w:val="left"/>
              <w:rPr>
                <w:rFonts w:hint="eastAsia" w:ascii="宋体" w:hAnsi="宋体" w:eastAsia="宋体" w:cs="宋体"/>
                <w:color w:val="000000"/>
                <w:kern w:val="2"/>
                <w:sz w:val="21"/>
                <w:szCs w:val="21"/>
                <w:highlight w:val="none"/>
                <w:lang w:val="en-US" w:eastAsia="zh-CN" w:bidi="ar-SA"/>
              </w:rPr>
            </w:pPr>
          </w:p>
        </w:tc>
      </w:tr>
      <w:tr>
        <w:tblPrEx>
          <w:tblCellMar>
            <w:top w:w="0" w:type="dxa"/>
            <w:left w:w="108" w:type="dxa"/>
            <w:bottom w:w="0" w:type="dxa"/>
            <w:right w:w="108" w:type="dxa"/>
          </w:tblCellMar>
        </w:tblPrEx>
        <w:trPr>
          <w:trHeight w:val="975" w:hRule="atLeast"/>
        </w:trPr>
        <w:tc>
          <w:tcPr>
            <w:tcW w:w="4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r>
              <w:rPr>
                <w:rFonts w:hint="eastAsia" w:ascii="宋体" w:hAnsi="宋体" w:cs="宋体"/>
                <w:color w:val="000000"/>
                <w:kern w:val="0"/>
                <w:sz w:val="21"/>
                <w:szCs w:val="21"/>
                <w:highlight w:val="none"/>
                <w:lang w:val="en-US" w:eastAsia="zh-CN"/>
              </w:rPr>
              <w:t>4</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水产制品</w:t>
            </w:r>
          </w:p>
        </w:tc>
        <w:tc>
          <w:tcPr>
            <w:tcW w:w="39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（1）质量标准： </w:t>
            </w:r>
            <w:r>
              <w:rPr>
                <w:rFonts w:hint="eastAsia" w:ascii="宋体" w:hAnsi="宋体" w:eastAsia="宋体" w:cs="宋体"/>
                <w:color w:val="auto"/>
                <w:sz w:val="21"/>
                <w:szCs w:val="21"/>
                <w:highlight w:val="none"/>
              </w:rPr>
              <w:t xml:space="preserve">符合GB </w:t>
            </w:r>
            <w:r>
              <w:rPr>
                <w:rFonts w:hint="eastAsia" w:ascii="宋体" w:hAnsi="宋体" w:eastAsia="宋体" w:cs="宋体"/>
                <w:color w:val="auto"/>
                <w:sz w:val="21"/>
                <w:szCs w:val="21"/>
                <w:highlight w:val="none"/>
                <w:lang w:val="en-US" w:eastAsia="zh-CN"/>
              </w:rPr>
              <w:t>10136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2015 </w:t>
            </w:r>
            <w:r>
              <w:rPr>
                <w:rFonts w:hint="eastAsia" w:ascii="宋体" w:hAnsi="宋体" w:eastAsia="宋体" w:cs="宋体"/>
                <w:color w:val="auto"/>
                <w:sz w:val="21"/>
                <w:szCs w:val="21"/>
                <w:highlight w:val="none"/>
              </w:rPr>
              <w:t xml:space="preserve">《食品安全国家标准 </w:t>
            </w:r>
            <w:r>
              <w:rPr>
                <w:rFonts w:hint="eastAsia" w:ascii="宋体" w:hAnsi="宋体" w:eastAsia="宋体" w:cs="宋体"/>
                <w:color w:val="auto"/>
                <w:kern w:val="0"/>
                <w:sz w:val="21"/>
                <w:szCs w:val="21"/>
                <w:highlight w:val="none"/>
                <w:lang w:val="en-US" w:eastAsia="zh-CN" w:bidi="ar"/>
              </w:rPr>
              <w:t>动物性水产制品</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aps w:val="0"/>
                <w:color w:val="auto"/>
                <w:spacing w:val="0"/>
                <w:sz w:val="21"/>
                <w:szCs w:val="21"/>
                <w:highlight w:val="none"/>
                <w:shd w:val="clear" w:fill="FFFFFF"/>
              </w:rPr>
              <w:t>GB 7098-2025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0"/>
                <w:sz w:val="21"/>
                <w:szCs w:val="21"/>
                <w:highlight w:val="none"/>
                <w:lang w:val="en-US" w:eastAsia="zh-CN" w:bidi="ar"/>
              </w:rPr>
              <w:t xml:space="preserve">食品安全国家标准 </w:t>
            </w:r>
            <w:r>
              <w:rPr>
                <w:rFonts w:hint="eastAsia" w:ascii="宋体" w:hAnsi="宋体" w:eastAsia="宋体" w:cs="宋体"/>
                <w:i w:val="0"/>
                <w:iCs w:val="0"/>
                <w:caps w:val="0"/>
                <w:color w:val="auto"/>
                <w:spacing w:val="0"/>
                <w:sz w:val="21"/>
                <w:szCs w:val="21"/>
                <w:highlight w:val="none"/>
                <w:shd w:val="clear" w:fill="FFFFFF"/>
              </w:rPr>
              <w:t>罐头食品</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r>
              <w:rPr>
                <w:rFonts w:hint="eastAsia" w:ascii="宋体" w:hAnsi="宋体" w:eastAsia="宋体" w:cs="宋体"/>
                <w:color w:val="auto"/>
                <w:kern w:val="0"/>
                <w:sz w:val="22"/>
                <w:szCs w:val="22"/>
                <w:highlight w:val="none"/>
                <w:lang w:val="en-US" w:eastAsia="zh-CN" w:bidi="ar"/>
              </w:rPr>
              <w:t>SC/T 3212-2017《盐渍海带》</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w:t>
            </w:r>
          </w:p>
          <w:p>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sz w:val="21"/>
                <w:szCs w:val="21"/>
                <w:highlight w:val="none"/>
                <w:lang w:val="en-US" w:eastAsia="zh-CN"/>
              </w:rPr>
              <w:t>质量要求</w:t>
            </w:r>
            <w:r>
              <w:rPr>
                <w:rFonts w:hint="eastAsia" w:ascii="宋体" w:hAnsi="宋体" w:eastAsia="宋体" w:cs="宋体"/>
                <w:color w:val="auto"/>
                <w:kern w:val="0"/>
                <w:sz w:val="21"/>
                <w:szCs w:val="21"/>
                <w:highlight w:val="none"/>
                <w:lang w:val="en-US" w:eastAsia="zh-CN" w:bidi="ar"/>
              </w:rPr>
              <w:t>：色泽正常，符</w:t>
            </w:r>
            <w:r>
              <w:rPr>
                <w:rFonts w:hint="eastAsia" w:ascii="宋体" w:hAnsi="宋体" w:eastAsia="宋体" w:cs="宋体"/>
                <w:color w:val="auto"/>
                <w:sz w:val="21"/>
                <w:szCs w:val="21"/>
                <w:highlight w:val="none"/>
                <w:lang w:val="en-US" w:eastAsia="zh-CN"/>
              </w:rPr>
              <w:t>合产品固有特性（如鱼干呈黄褐色或棕褐色，鱼罐头呈黄褐色）；形态完整或整齐，无霉变、无虫蛀、无异味；肉质紧密有弹性（鱼干）或鲜嫩（鱼罐头），无腐败变质现象；无可见异物和杂质。</w:t>
            </w:r>
          </w:p>
          <w:p>
            <w:pPr>
              <w:keepNext w:val="0"/>
              <w:keepLines w:val="0"/>
              <w:widowControl/>
              <w:suppressLineNumbers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储存运输：包装密封良好，无破损、渗漏现象；冻品水产制品需在-18℃以下冷冻储存运输；常温储存制品需储存于阴凉干燥处，避免高温和潮湿环境；标识清晰完整，包含产品名称、规格、净含量、生产日期、保质期、生产者信息、SC编号、执行标准号、配料表等。鱼丸、虾丸等冷藏水产制品需全程冷链运输及储存，储存温度0-4℃；干制水产制品储存于阴凉干燥处，避免潮湿、变质。</w:t>
            </w:r>
          </w:p>
        </w:tc>
      </w:tr>
      <w:tr>
        <w:tblPrEx>
          <w:tblCellMar>
            <w:top w:w="0" w:type="dxa"/>
            <w:left w:w="108" w:type="dxa"/>
            <w:bottom w:w="0" w:type="dxa"/>
            <w:right w:w="108" w:type="dxa"/>
          </w:tblCellMar>
        </w:tblPrEx>
        <w:trPr>
          <w:trHeight w:val="975" w:hRule="atLeast"/>
        </w:trPr>
        <w:tc>
          <w:tcPr>
            <w:tcW w:w="4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r>
              <w:rPr>
                <w:rFonts w:hint="eastAsia" w:ascii="宋体" w:hAnsi="宋体" w:cs="宋体"/>
                <w:color w:val="000000"/>
                <w:kern w:val="0"/>
                <w:sz w:val="21"/>
                <w:szCs w:val="21"/>
                <w:highlight w:val="none"/>
                <w:lang w:val="en-US" w:eastAsia="zh-CN"/>
              </w:rPr>
              <w:t>5</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淀粉及淀粉制品</w:t>
            </w:r>
          </w:p>
        </w:tc>
        <w:tc>
          <w:tcPr>
            <w:tcW w:w="39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5"/>
              </w:numPr>
              <w:suppressLineNumbers w:val="0"/>
              <w:jc w:val="left"/>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质量标准： </w:t>
            </w:r>
            <w:r>
              <w:rPr>
                <w:rFonts w:hint="eastAsia" w:ascii="宋体" w:hAnsi="宋体" w:eastAsia="宋体" w:cs="宋体"/>
                <w:color w:val="auto"/>
                <w:sz w:val="21"/>
                <w:szCs w:val="21"/>
                <w:highlight w:val="none"/>
              </w:rPr>
              <w:t xml:space="preserve">符合GB </w:t>
            </w:r>
            <w:r>
              <w:rPr>
                <w:rFonts w:hint="eastAsia" w:ascii="宋体" w:hAnsi="宋体" w:eastAsia="宋体" w:cs="宋体"/>
                <w:color w:val="auto"/>
                <w:sz w:val="21"/>
                <w:szCs w:val="21"/>
                <w:highlight w:val="none"/>
                <w:lang w:val="en-US" w:eastAsia="zh-CN"/>
              </w:rPr>
              <w:t>31637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2016 </w:t>
            </w:r>
            <w:r>
              <w:rPr>
                <w:rFonts w:hint="eastAsia" w:ascii="宋体" w:hAnsi="宋体" w:eastAsia="宋体" w:cs="宋体"/>
                <w:color w:val="auto"/>
                <w:sz w:val="21"/>
                <w:szCs w:val="21"/>
                <w:highlight w:val="none"/>
              </w:rPr>
              <w:t xml:space="preserve">《食品安全国家标准 </w:t>
            </w:r>
            <w:r>
              <w:rPr>
                <w:rFonts w:hint="eastAsia" w:ascii="宋体" w:hAnsi="宋体" w:eastAsia="宋体" w:cs="宋体"/>
                <w:color w:val="auto"/>
                <w:kern w:val="0"/>
                <w:sz w:val="21"/>
                <w:szCs w:val="21"/>
                <w:highlight w:val="none"/>
                <w:lang w:val="en-US" w:eastAsia="zh-CN" w:bidi="ar"/>
              </w:rPr>
              <w:t>淀粉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aps w:val="0"/>
                <w:color w:val="auto"/>
                <w:spacing w:val="0"/>
                <w:sz w:val="21"/>
                <w:szCs w:val="21"/>
                <w:highlight w:val="none"/>
                <w:shd w:val="clear" w:fill="FFFFFF"/>
              </w:rPr>
              <w:t xml:space="preserve">GB </w:t>
            </w:r>
            <w:r>
              <w:rPr>
                <w:rFonts w:hint="eastAsia" w:ascii="宋体" w:hAnsi="宋体" w:eastAsia="宋体" w:cs="宋体"/>
                <w:i w:val="0"/>
                <w:iCs w:val="0"/>
                <w:caps w:val="0"/>
                <w:color w:val="auto"/>
                <w:spacing w:val="0"/>
                <w:sz w:val="21"/>
                <w:szCs w:val="21"/>
                <w:highlight w:val="none"/>
                <w:shd w:val="clear" w:fill="FFFFFF"/>
                <w:lang w:val="en-US" w:eastAsia="zh-CN"/>
              </w:rPr>
              <w:t>2713</w:t>
            </w:r>
            <w:r>
              <w:rPr>
                <w:rFonts w:hint="eastAsia" w:ascii="宋体" w:hAnsi="宋体" w:eastAsia="宋体" w:cs="宋体"/>
                <w:i w:val="0"/>
                <w:iCs w:val="0"/>
                <w:caps w:val="0"/>
                <w:color w:val="auto"/>
                <w:spacing w:val="0"/>
                <w:sz w:val="21"/>
                <w:szCs w:val="21"/>
                <w:highlight w:val="none"/>
                <w:shd w:val="clear" w:fill="FFFFFF"/>
              </w:rPr>
              <w:t>-20</w:t>
            </w:r>
            <w:r>
              <w:rPr>
                <w:rFonts w:hint="eastAsia" w:ascii="宋体" w:hAnsi="宋体" w:eastAsia="宋体" w:cs="宋体"/>
                <w:i w:val="0"/>
                <w:iCs w:val="0"/>
                <w:caps w:val="0"/>
                <w:color w:val="auto"/>
                <w:spacing w:val="0"/>
                <w:sz w:val="21"/>
                <w:szCs w:val="21"/>
                <w:highlight w:val="none"/>
                <w:shd w:val="clear" w:fill="FFFFFF"/>
                <w:lang w:val="en-US" w:eastAsia="zh-CN"/>
              </w:rPr>
              <w:t>1</w:t>
            </w:r>
            <w:r>
              <w:rPr>
                <w:rFonts w:hint="eastAsia" w:ascii="宋体" w:hAnsi="宋体" w:eastAsia="宋体" w:cs="宋体"/>
                <w:i w:val="0"/>
                <w:iCs w:val="0"/>
                <w:caps w:val="0"/>
                <w:color w:val="auto"/>
                <w:spacing w:val="0"/>
                <w:sz w:val="21"/>
                <w:szCs w:val="21"/>
                <w:highlight w:val="none"/>
                <w:shd w:val="clear" w:fill="FFFFFF"/>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0"/>
                <w:sz w:val="21"/>
                <w:szCs w:val="21"/>
                <w:highlight w:val="none"/>
                <w:lang w:val="en-US" w:eastAsia="zh-CN" w:bidi="ar"/>
              </w:rPr>
              <w:t>食品安全国家标准 淀粉制品</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p>
          <w:p>
            <w:pPr>
              <w:keepNext w:val="0"/>
              <w:keepLines w:val="0"/>
              <w:widowControl/>
              <w:numPr>
                <w:ilvl w:val="0"/>
                <w:numId w:val="0"/>
              </w:numPr>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sz w:val="21"/>
                <w:szCs w:val="21"/>
                <w:highlight w:val="none"/>
                <w:lang w:val="en-US" w:eastAsia="zh-CN"/>
              </w:rPr>
              <w:t>质量要求</w:t>
            </w:r>
            <w:r>
              <w:rPr>
                <w:rFonts w:hint="eastAsia" w:ascii="宋体" w:hAnsi="宋体" w:eastAsia="宋体" w:cs="宋体"/>
                <w:color w:val="auto"/>
                <w:kern w:val="0"/>
                <w:sz w:val="21"/>
                <w:szCs w:val="21"/>
                <w:highlight w:val="none"/>
                <w:lang w:val="en-US" w:eastAsia="zh-CN" w:bidi="ar"/>
              </w:rPr>
              <w:t>：色泽洁白或微黄，均匀一致；粉末细腻，无结块、无杂质、无霉变；具有淀粉固有的气味，无异味、无腐败味；淀粉制品（粉条、粉丝等）色泽均匀，质地柔韧，无断条、无粘连。</w:t>
            </w:r>
          </w:p>
          <w:p>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储存运输：包装密封良好，无破损、漏气现象；采用防潮的食品级包装材料；储存于阴凉干燥处，避免潮湿、高温和阳光直射；标识清晰完整，包含产品名称、规格、净含量、生产日期、保质期、生产者信息、SC编号、执行标准号、配料表等。</w:t>
            </w:r>
          </w:p>
          <w:p>
            <w:pPr>
              <w:keepNext w:val="0"/>
              <w:keepLines w:val="0"/>
              <w:widowControl/>
              <w:suppressLineNumbers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（4）保质期：距生产日期不超过保质期的1/3，储存于阴凉干燥处，避免潮湿、结块。</w:t>
            </w:r>
          </w:p>
        </w:tc>
      </w:tr>
      <w:tr>
        <w:tblPrEx>
          <w:tblCellMar>
            <w:top w:w="0" w:type="dxa"/>
            <w:left w:w="108" w:type="dxa"/>
            <w:bottom w:w="0" w:type="dxa"/>
            <w:right w:w="108" w:type="dxa"/>
          </w:tblCellMar>
        </w:tblPrEx>
        <w:trPr>
          <w:trHeight w:val="185" w:hRule="atLeast"/>
        </w:trPr>
        <w:tc>
          <w:tcPr>
            <w:tcW w:w="4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16</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糕点</w:t>
            </w:r>
          </w:p>
        </w:tc>
        <w:tc>
          <w:tcPr>
            <w:tcW w:w="39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6"/>
              </w:numPr>
              <w:suppressLineNumbers w:val="0"/>
              <w:jc w:val="left"/>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质量标准： </w:t>
            </w:r>
            <w:r>
              <w:rPr>
                <w:rFonts w:hint="eastAsia" w:ascii="宋体" w:hAnsi="宋体" w:eastAsia="宋体" w:cs="宋体"/>
                <w:color w:val="auto"/>
                <w:sz w:val="21"/>
                <w:szCs w:val="21"/>
                <w:highlight w:val="none"/>
              </w:rPr>
              <w:t xml:space="preserve">符合GB </w:t>
            </w:r>
            <w:r>
              <w:rPr>
                <w:rFonts w:hint="eastAsia" w:ascii="宋体" w:hAnsi="宋体" w:eastAsia="宋体" w:cs="宋体"/>
                <w:color w:val="auto"/>
                <w:sz w:val="21"/>
                <w:szCs w:val="21"/>
                <w:highlight w:val="none"/>
                <w:lang w:val="en-US" w:eastAsia="zh-CN"/>
              </w:rPr>
              <w:t>7099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2015</w:t>
            </w:r>
            <w:r>
              <w:rPr>
                <w:rFonts w:hint="eastAsia" w:ascii="宋体" w:hAnsi="宋体" w:eastAsia="宋体" w:cs="宋体"/>
                <w:color w:val="auto"/>
                <w:sz w:val="21"/>
                <w:szCs w:val="21"/>
                <w:highlight w:val="none"/>
              </w:rPr>
              <w:t xml:space="preserve">《食品安全国家标准 </w:t>
            </w:r>
            <w:r>
              <w:rPr>
                <w:rFonts w:hint="eastAsia" w:ascii="宋体" w:hAnsi="宋体" w:eastAsia="宋体" w:cs="宋体"/>
                <w:color w:val="auto"/>
                <w:kern w:val="0"/>
                <w:sz w:val="21"/>
                <w:szCs w:val="21"/>
                <w:highlight w:val="none"/>
                <w:lang w:val="en-US" w:eastAsia="zh-CN" w:bidi="ar"/>
              </w:rPr>
              <w:t>糕点、面包</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p>
          <w:p>
            <w:pPr>
              <w:keepNext w:val="0"/>
              <w:keepLines w:val="0"/>
              <w:widowControl/>
              <w:numPr>
                <w:ilvl w:val="0"/>
                <w:numId w:val="0"/>
              </w:numPr>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sz w:val="21"/>
                <w:szCs w:val="21"/>
                <w:highlight w:val="none"/>
                <w:lang w:val="en-US" w:eastAsia="zh-CN"/>
              </w:rPr>
              <w:t>质量要求</w:t>
            </w:r>
            <w:r>
              <w:rPr>
                <w:rFonts w:hint="eastAsia" w:ascii="宋体" w:hAnsi="宋体" w:eastAsia="宋体" w:cs="宋体"/>
                <w:color w:val="auto"/>
                <w:kern w:val="0"/>
                <w:sz w:val="21"/>
                <w:szCs w:val="21"/>
                <w:highlight w:val="none"/>
                <w:lang w:val="en-US" w:eastAsia="zh-CN" w:bidi="ar"/>
              </w:rPr>
              <w:t>：外观完整，色泽均匀，具有该类糕点应有的香气和滋味，无异味、无霉变、无杂质、无焦糊现象；面包、蛋糕质地柔软，无过硬、过干现象；饼干口感酥脆，无受潮、变软现象。</w:t>
            </w:r>
          </w:p>
          <w:p>
            <w:pPr>
              <w:keepNext w:val="0"/>
              <w:keepLines w:val="0"/>
              <w:widowControl/>
              <w:suppressLineNumbers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sz w:val="21"/>
                <w:szCs w:val="21"/>
                <w:highlight w:val="none"/>
                <w:lang w:val="en-US" w:eastAsia="zh-CN"/>
              </w:rPr>
              <w:t>储存运输</w:t>
            </w:r>
            <w:r>
              <w:rPr>
                <w:rFonts w:hint="eastAsia" w:ascii="宋体" w:hAnsi="宋体" w:eastAsia="宋体" w:cs="宋体"/>
                <w:color w:val="auto"/>
                <w:kern w:val="0"/>
                <w:sz w:val="21"/>
                <w:szCs w:val="21"/>
                <w:highlight w:val="none"/>
                <w:lang w:val="en-US" w:eastAsia="zh-CN" w:bidi="ar"/>
              </w:rPr>
              <w:t>：包装密封良好，无破损、漏气现象</w:t>
            </w:r>
            <w:r>
              <w:rPr>
                <w:rFonts w:hint="eastAsia" w:ascii="宋体" w:hAnsi="宋体" w:eastAsia="宋体" w:cs="宋体"/>
                <w:color w:val="auto"/>
                <w:sz w:val="21"/>
                <w:szCs w:val="21"/>
                <w:highlight w:val="none"/>
                <w:lang w:val="en-US" w:eastAsia="zh-CN"/>
              </w:rPr>
              <w:t>；采用防潮、避光的食品级包装材料；储存于阴凉干燥处，避免潮湿、高温和阳光直射；标识清晰完整，包含产品名称、规</w:t>
            </w:r>
            <w:r>
              <w:rPr>
                <w:rFonts w:hint="eastAsia" w:ascii="宋体" w:hAnsi="宋体" w:eastAsia="宋体" w:cs="宋体"/>
                <w:color w:val="auto"/>
                <w:kern w:val="0"/>
                <w:sz w:val="21"/>
                <w:szCs w:val="21"/>
                <w:highlight w:val="none"/>
                <w:lang w:val="en-US" w:eastAsia="zh-CN" w:bidi="ar"/>
              </w:rPr>
              <w:t>格、净含量、生产日期、保质期、生产者信息、SC编号、执行标准号、配料表等。部分糕点（如奶油蛋糕）需全程冷链运输及储存，储存温度0-6℃；其他糕点储存于阴凉干燥处，避免高温、潮湿、阳光直射。</w:t>
            </w:r>
          </w:p>
        </w:tc>
      </w:tr>
      <w:tr>
        <w:tblPrEx>
          <w:tblCellMar>
            <w:top w:w="0" w:type="dxa"/>
            <w:left w:w="108" w:type="dxa"/>
            <w:bottom w:w="0" w:type="dxa"/>
            <w:right w:w="108" w:type="dxa"/>
          </w:tblCellMar>
        </w:tblPrEx>
        <w:trPr>
          <w:trHeight w:val="975" w:hRule="atLeast"/>
        </w:trPr>
        <w:tc>
          <w:tcPr>
            <w:tcW w:w="4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r>
              <w:rPr>
                <w:rFonts w:hint="eastAsia" w:ascii="宋体" w:hAnsi="宋体" w:cs="宋体"/>
                <w:color w:val="auto"/>
                <w:kern w:val="0"/>
                <w:sz w:val="21"/>
                <w:szCs w:val="21"/>
                <w:highlight w:val="none"/>
                <w:lang w:val="en-US" w:eastAsia="zh-CN"/>
              </w:rPr>
              <w:t>7</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0"/>
              </w:numPr>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食品添加剂</w:t>
            </w:r>
          </w:p>
        </w:tc>
        <w:tc>
          <w:tcPr>
            <w:tcW w:w="39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7"/>
              </w:numPr>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质量标准：符合GB2760-2024《食品安全国家标准</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食品添加剂使用标准》等</w:t>
            </w:r>
            <w:r>
              <w:rPr>
                <w:rFonts w:hint="eastAsia" w:ascii="宋体" w:hAnsi="宋体" w:cs="宋体"/>
                <w:color w:val="auto"/>
                <w:sz w:val="21"/>
                <w:szCs w:val="21"/>
                <w:highlight w:val="none"/>
                <w:lang w:val="en-US" w:eastAsia="zh-CN"/>
              </w:rPr>
              <w:t>相关标准。如有最新标准时按最新标准行。</w:t>
            </w:r>
          </w:p>
          <w:p>
            <w:pPr>
              <w:keepNext w:val="0"/>
              <w:keepLines w:val="0"/>
              <w:widowControl/>
              <w:numPr>
                <w:ilvl w:val="0"/>
                <w:numId w:val="0"/>
              </w:numPr>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sz w:val="21"/>
                <w:szCs w:val="21"/>
                <w:highlight w:val="none"/>
                <w:lang w:val="en-US" w:eastAsia="zh-CN"/>
              </w:rPr>
              <w:t>质量要求</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sz w:val="21"/>
                <w:szCs w:val="21"/>
                <w:highlight w:val="none"/>
                <w:lang w:val="en-US" w:eastAsia="zh-CN"/>
              </w:rPr>
              <w:t>色泽、性状符合产品固有特性（如防腐剂呈白色粉末或结晶，色素呈对应色泽粉末）；无异味、无霉变、无杂质；溶解性能符合相关产品标准（可溶性添加剂溶解后无明显沉淀）。</w:t>
            </w:r>
          </w:p>
          <w:p>
            <w:pPr>
              <w:keepNext w:val="0"/>
              <w:keepLines w:val="0"/>
              <w:widowControl/>
              <w:numPr>
                <w:ilvl w:val="0"/>
                <w:numId w:val="0"/>
              </w:numPr>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sz w:val="21"/>
                <w:szCs w:val="21"/>
                <w:highlight w:val="none"/>
                <w:lang w:val="en-US" w:eastAsia="zh-CN"/>
              </w:rPr>
              <w:t>储存运输</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sz w:val="21"/>
                <w:szCs w:val="21"/>
                <w:highlight w:val="none"/>
                <w:lang w:val="en-US" w:eastAsia="zh-CN"/>
              </w:rPr>
              <w:t>包装密封良好，无破损、泄漏现象；采用耐腐蚀、防潮的食品级包装材料，包装上需明确标注“食品添加剂”字样；储存于阴凉干燥、通风良好处，远离火源、热源和有毒有害物质；标识清晰完整，包含产品名称、规格、净含量、生产日期、保质期、生产者信息、SC编号、执行标准号、配料表、使用范围及使用量、警示说明等。</w:t>
            </w:r>
          </w:p>
          <w:p>
            <w:pPr>
              <w:keepNext w:val="0"/>
              <w:keepLines w:val="0"/>
              <w:widowControl/>
              <w:numPr>
                <w:ilvl w:val="0"/>
                <w:numId w:val="0"/>
              </w:numPr>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（4）合规要求：产品必须是经国家食品安全监督管理部门批准使用的食品添加剂，其使用范围及使用量符合GB 2760-2024 《食品安全国家标准 食品添加剂使用标准》的要求；供应商需提供产品的批准证明文件及检验合格证明。</w:t>
            </w:r>
          </w:p>
        </w:tc>
      </w:tr>
    </w:tbl>
    <w:p>
      <w:pPr>
        <w:rPr>
          <w:rFonts w:hint="eastAsia" w:ascii="宋体" w:hAnsi="宋体" w:eastAsia="宋体" w:cs="宋体"/>
          <w:color w:val="auto"/>
          <w:sz w:val="21"/>
          <w:szCs w:val="21"/>
          <w:highlight w:val="none"/>
        </w:rPr>
      </w:pPr>
    </w:p>
    <w:p>
      <w:pPr>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人员配置：供应方须就该项目配置固定的业务联络人和配送人员</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配送人员须持有有效的健康证。</w:t>
      </w:r>
    </w:p>
    <w:p>
      <w:pPr>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设施设备配置：食品专用冷藏配送车辆2辆，封闭式食品配送车辆2辆。</w:t>
      </w:r>
    </w:p>
    <w:p>
      <w:pPr>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其他要求（包括采购标的需执行的国家相关标准、行业标准、地方标准或者其他标准、规范等）：</w:t>
      </w:r>
    </w:p>
    <w:p>
      <w:pPr>
        <w:rPr>
          <w:rFonts w:ascii="宋体" w:hAnsi="宋体" w:cs="宋体"/>
          <w:color w:val="000000"/>
          <w:sz w:val="24"/>
          <w:szCs w:val="24"/>
          <w:highlight w:val="none"/>
        </w:rPr>
      </w:pPr>
      <w:r>
        <w:rPr>
          <w:rFonts w:hint="eastAsia" w:ascii="宋体" w:hAnsi="宋体" w:cs="宋体"/>
          <w:bCs/>
          <w:sz w:val="24"/>
          <w:szCs w:val="24"/>
          <w:highlight w:val="none"/>
        </w:rPr>
        <w:t>★</w:t>
      </w:r>
      <w:r>
        <w:rPr>
          <w:rFonts w:hint="eastAsia" w:ascii="宋体" w:hAnsi="宋体" w:cs="宋体"/>
          <w:color w:val="000000"/>
          <w:sz w:val="24"/>
          <w:szCs w:val="24"/>
          <w:highlight w:val="none"/>
        </w:rPr>
        <w:t>4.1.供货行为与供货内容应符合《中华人民共和国食品安全法》</w:t>
      </w:r>
      <w:r>
        <w:rPr>
          <w:rFonts w:hint="eastAsia" w:ascii="宋体" w:hAnsi="宋体" w:cs="宋体"/>
          <w:color w:val="000000"/>
          <w:sz w:val="24"/>
          <w:szCs w:val="24"/>
          <w:highlight w:val="none"/>
          <w:lang w:val="en-US" w:eastAsia="zh-CN"/>
        </w:rPr>
        <w:t>及实施条例</w:t>
      </w:r>
      <w:r>
        <w:rPr>
          <w:rFonts w:hint="eastAsia" w:ascii="宋体" w:hAnsi="宋体" w:cs="宋体"/>
          <w:color w:val="000000"/>
          <w:sz w:val="24"/>
          <w:szCs w:val="24"/>
          <w:highlight w:val="none"/>
        </w:rPr>
        <w:t>。</w:t>
      </w:r>
    </w:p>
    <w:p>
      <w:pPr>
        <w:rPr>
          <w:rFonts w:ascii="宋体" w:hAnsi="宋体" w:cs="宋体"/>
          <w:color w:val="000000"/>
          <w:sz w:val="24"/>
          <w:szCs w:val="24"/>
          <w:highlight w:val="none"/>
        </w:rPr>
      </w:pPr>
      <w:r>
        <w:rPr>
          <w:rFonts w:hint="eastAsia" w:ascii="宋体" w:hAnsi="宋体" w:cs="宋体"/>
          <w:bCs/>
          <w:sz w:val="24"/>
          <w:szCs w:val="24"/>
          <w:highlight w:val="none"/>
        </w:rPr>
        <w:t>★</w:t>
      </w:r>
      <w:r>
        <w:rPr>
          <w:rFonts w:hint="eastAsia" w:ascii="宋体" w:hAnsi="宋体" w:cs="宋体"/>
          <w:color w:val="000000"/>
          <w:sz w:val="24"/>
          <w:szCs w:val="24"/>
          <w:highlight w:val="none"/>
        </w:rPr>
        <w:t>4.2.所供食品应包含但不限于符合以下国家现行食品安全标准:</w:t>
      </w:r>
    </w:p>
    <w:p>
      <w:pPr>
        <w:rPr>
          <w:rFonts w:ascii="宋体" w:hAnsi="宋体" w:cs="宋体"/>
          <w:color w:val="000000"/>
          <w:sz w:val="24"/>
          <w:szCs w:val="24"/>
          <w:highlight w:val="none"/>
        </w:rPr>
      </w:pPr>
      <w:r>
        <w:rPr>
          <w:rFonts w:hint="eastAsia" w:ascii="宋体" w:hAnsi="宋体" w:cs="宋体"/>
          <w:color w:val="000000"/>
          <w:sz w:val="24"/>
          <w:szCs w:val="24"/>
          <w:highlight w:val="none"/>
        </w:rPr>
        <w:t>4.2.1.食品中真菌毒素限量应符合GB 2761-2017 《食品安全国家标准 食品中真菌毒素限量》相关规定。</w:t>
      </w:r>
    </w:p>
    <w:p>
      <w:pPr>
        <w:rPr>
          <w:rFonts w:hint="eastAsia" w:ascii="宋体" w:hAnsi="宋体" w:cs="宋体"/>
          <w:color w:val="000000"/>
          <w:sz w:val="24"/>
          <w:szCs w:val="24"/>
          <w:highlight w:val="none"/>
        </w:rPr>
      </w:pPr>
      <w:r>
        <w:rPr>
          <w:rFonts w:hint="eastAsia" w:ascii="宋体" w:hAnsi="宋体" w:cs="宋体"/>
          <w:color w:val="000000"/>
          <w:sz w:val="24"/>
          <w:szCs w:val="24"/>
          <w:highlight w:val="none"/>
        </w:rPr>
        <w:t>4.2.2.食品中污染物限量应符合GB 2762-2022/XG1-2025《 食品安全国家标准 食品中污染物限量（含第1号修改单）》相关规定。</w:t>
      </w:r>
    </w:p>
    <w:p>
      <w:pPr>
        <w:rPr>
          <w:rFonts w:ascii="宋体" w:hAnsi="宋体" w:cs="宋体"/>
          <w:color w:val="000000"/>
          <w:sz w:val="24"/>
          <w:szCs w:val="24"/>
          <w:highlight w:val="none"/>
        </w:rPr>
      </w:pPr>
      <w:r>
        <w:rPr>
          <w:rFonts w:hint="eastAsia" w:ascii="宋体" w:hAnsi="宋体" w:cs="宋体"/>
          <w:color w:val="000000" w:themeColor="text1"/>
          <w:sz w:val="24"/>
          <w:szCs w:val="24"/>
          <w:highlight w:val="none"/>
          <w14:textFill>
            <w14:solidFill>
              <w14:schemeClr w14:val="tx1"/>
            </w14:solidFill>
          </w14:textFill>
        </w:rPr>
        <w:t>4.2.3.</w:t>
      </w:r>
      <w:r>
        <w:rPr>
          <w:rFonts w:hint="eastAsia" w:ascii="宋体" w:hAnsi="宋体" w:cs="宋体"/>
          <w:color w:val="000000" w:themeColor="text1"/>
          <w:sz w:val="24"/>
          <w:szCs w:val="24"/>
          <w:highlight w:val="none"/>
          <w:lang w:eastAsia="zh-CN"/>
          <w14:textFill>
            <w14:solidFill>
              <w14:schemeClr w14:val="tx1"/>
            </w14:solidFill>
          </w14:textFill>
        </w:rPr>
        <w:t>植物性食品</w:t>
      </w:r>
      <w:r>
        <w:rPr>
          <w:rFonts w:hint="eastAsia" w:ascii="宋体" w:hAnsi="宋体" w:cs="宋体"/>
          <w:color w:val="000000" w:themeColor="text1"/>
          <w:sz w:val="24"/>
          <w:szCs w:val="24"/>
          <w:highlight w:val="none"/>
          <w14:textFill>
            <w14:solidFill>
              <w14:schemeClr w14:val="tx1"/>
            </w14:solidFill>
          </w14:textFill>
        </w:rPr>
        <w:t>最大残留限</w:t>
      </w:r>
      <w:r>
        <w:rPr>
          <w:rFonts w:hint="eastAsia" w:ascii="宋体" w:hAnsi="宋体" w:cs="宋体"/>
          <w:color w:val="000000" w:themeColor="text1"/>
          <w:sz w:val="24"/>
          <w:szCs w:val="24"/>
          <w:highlight w:val="none"/>
          <w:lang w:val="en-US" w:eastAsia="zh-CN"/>
          <w14:textFill>
            <w14:solidFill>
              <w14:schemeClr w14:val="tx1"/>
            </w14:solidFill>
          </w14:textFill>
        </w:rPr>
        <w:t>量</w:t>
      </w:r>
      <w:r>
        <w:rPr>
          <w:rFonts w:hint="eastAsia" w:ascii="宋体" w:hAnsi="宋体" w:cs="宋体"/>
          <w:color w:val="000000" w:themeColor="text1"/>
          <w:sz w:val="24"/>
          <w:szCs w:val="24"/>
          <w:highlight w:val="none"/>
          <w14:textFill>
            <w14:solidFill>
              <w14:schemeClr w14:val="tx1"/>
            </w14:solidFill>
          </w14:textFill>
        </w:rPr>
        <w:t>应符合GB 2763-20</w:t>
      </w:r>
      <w:r>
        <w:rPr>
          <w:rFonts w:hint="eastAsia" w:ascii="宋体" w:hAnsi="宋体" w:cs="宋体"/>
          <w:color w:val="000000" w:themeColor="text1"/>
          <w:sz w:val="24"/>
          <w:szCs w:val="24"/>
          <w:highlight w:val="none"/>
          <w:lang w:val="en-US" w:eastAsia="zh-CN"/>
          <w14:textFill>
            <w14:solidFill>
              <w14:schemeClr w14:val="tx1"/>
            </w14:solidFill>
          </w14:textFill>
        </w:rPr>
        <w:t>21</w:t>
      </w:r>
      <w:r>
        <w:rPr>
          <w:rFonts w:hint="eastAsia" w:ascii="宋体" w:hAnsi="宋体" w:cs="宋体"/>
          <w:color w:val="0000FF"/>
          <w:sz w:val="24"/>
          <w:szCs w:val="24"/>
          <w:highlight w:val="none"/>
        </w:rPr>
        <w:t xml:space="preserve"> </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sz w:val="24"/>
          <w:szCs w:val="24"/>
          <w:highlight w:val="none"/>
        </w:rPr>
        <w:t>食品安全国家标准 食品中农药最大残留限量》相关规定。</w:t>
      </w:r>
    </w:p>
    <w:p>
      <w:pPr>
        <w:rPr>
          <w:rFonts w:ascii="宋体" w:hAnsi="宋体" w:cs="宋体"/>
          <w:color w:val="000000"/>
          <w:sz w:val="24"/>
          <w:szCs w:val="24"/>
          <w:highlight w:val="none"/>
        </w:rPr>
      </w:pPr>
      <w:r>
        <w:rPr>
          <w:rFonts w:hint="eastAsia" w:ascii="宋体" w:hAnsi="宋体" w:cs="宋体"/>
          <w:color w:val="000000"/>
          <w:sz w:val="24"/>
          <w:szCs w:val="24"/>
          <w:highlight w:val="none"/>
        </w:rPr>
        <w:t>4.2.4.预包装食品应符合GB 7718-</w:t>
      </w:r>
      <w:r>
        <w:rPr>
          <w:rFonts w:hint="eastAsia" w:ascii="宋体" w:hAnsi="宋体" w:cs="宋体"/>
          <w:color w:val="000000"/>
          <w:sz w:val="24"/>
          <w:szCs w:val="24"/>
          <w:highlight w:val="none"/>
          <w:lang w:val="en-US" w:eastAsia="zh-CN"/>
        </w:rPr>
        <w:t>2011</w:t>
      </w:r>
      <w:r>
        <w:rPr>
          <w:rFonts w:hint="eastAsia" w:ascii="宋体" w:hAnsi="宋体" w:cs="宋体"/>
          <w:color w:val="000000"/>
          <w:sz w:val="24"/>
          <w:szCs w:val="24"/>
          <w:highlight w:val="none"/>
        </w:rPr>
        <w:t xml:space="preserve"> 《食品安全国家标准 预包装食品标签通则》</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GB2749-2015</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蛋与蛋制品</w:t>
      </w:r>
      <w:r>
        <w:rPr>
          <w:rFonts w:hint="eastAsia" w:ascii="宋体" w:hAnsi="宋体" w:cs="宋体"/>
          <w:color w:val="000000"/>
          <w:sz w:val="24"/>
          <w:szCs w:val="24"/>
          <w:highlight w:val="none"/>
          <w:lang w:eastAsia="zh-CN"/>
        </w:rPr>
        <w:t>》标准、</w:t>
      </w:r>
      <w:r>
        <w:rPr>
          <w:rFonts w:hint="eastAsia" w:ascii="宋体" w:hAnsi="宋体" w:cs="宋体"/>
          <w:color w:val="000000"/>
          <w:sz w:val="24"/>
          <w:szCs w:val="24"/>
          <w:highlight w:val="none"/>
          <w:lang w:val="en-US" w:eastAsia="zh-CN"/>
        </w:rPr>
        <w:t xml:space="preserve">GB 2760-2024  </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食品安全国家标准</w:t>
      </w:r>
      <w:r>
        <w:rPr>
          <w:rFonts w:hint="eastAsia" w:ascii="宋体" w:hAnsi="宋体" w:cs="宋体"/>
          <w:color w:val="000000"/>
          <w:sz w:val="24"/>
          <w:szCs w:val="24"/>
          <w:highlight w:val="none"/>
          <w:lang w:val="en-US" w:eastAsia="zh-CN"/>
        </w:rPr>
        <w:t xml:space="preserve"> 食品添加剂使用标准</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相关规定。</w:t>
      </w:r>
    </w:p>
    <w:p>
      <w:pPr>
        <w:rPr>
          <w:rFonts w:ascii="宋体" w:hAnsi="宋体" w:cs="宋体"/>
          <w:color w:val="000000"/>
          <w:sz w:val="24"/>
          <w:szCs w:val="24"/>
          <w:highlight w:val="none"/>
        </w:rPr>
      </w:pPr>
      <w:r>
        <w:rPr>
          <w:rFonts w:hint="eastAsia" w:ascii="宋体" w:hAnsi="宋体" w:cs="宋体"/>
          <w:color w:val="000000"/>
          <w:sz w:val="24"/>
          <w:szCs w:val="24"/>
          <w:highlight w:val="none"/>
        </w:rPr>
        <w:t>4.2.5.</w:t>
      </w:r>
      <w:r>
        <w:rPr>
          <w:rFonts w:hint="eastAsia" w:ascii="宋体" w:hAnsi="宋体" w:cs="宋体"/>
          <w:color w:val="000000" w:themeColor="text1"/>
          <w:sz w:val="24"/>
          <w:szCs w:val="24"/>
          <w:highlight w:val="none"/>
          <w:lang w:eastAsia="zh-CN"/>
          <w14:textFill>
            <w14:solidFill>
              <w14:schemeClr w14:val="tx1"/>
            </w14:solidFill>
          </w14:textFill>
        </w:rPr>
        <w:t>动物性食品</w:t>
      </w:r>
      <w:r>
        <w:rPr>
          <w:rFonts w:hint="eastAsia" w:ascii="宋体" w:hAnsi="宋体" w:cs="宋体"/>
          <w:color w:val="000000" w:themeColor="text1"/>
          <w:sz w:val="24"/>
          <w:szCs w:val="24"/>
          <w:highlight w:val="none"/>
          <w14:textFill>
            <w14:solidFill>
              <w14:schemeClr w14:val="tx1"/>
            </w14:solidFill>
          </w14:textFill>
        </w:rPr>
        <w:t>中</w:t>
      </w:r>
      <w:r>
        <w:rPr>
          <w:rFonts w:hint="eastAsia" w:ascii="宋体" w:hAnsi="宋体" w:cs="宋体"/>
          <w:color w:val="000000"/>
          <w:sz w:val="24"/>
          <w:szCs w:val="24"/>
          <w:highlight w:val="none"/>
        </w:rPr>
        <w:t>兽药最大残留限量应符合GB 31650-</w:t>
      </w:r>
      <w:r>
        <w:rPr>
          <w:rFonts w:hint="eastAsia" w:ascii="宋体" w:hAnsi="宋体" w:cs="宋体"/>
          <w:color w:val="000000"/>
          <w:sz w:val="24"/>
          <w:szCs w:val="24"/>
          <w:highlight w:val="none"/>
          <w:lang w:val="en-US" w:eastAsia="zh-CN"/>
        </w:rPr>
        <w:t>2022</w:t>
      </w:r>
      <w:r>
        <w:rPr>
          <w:rFonts w:hint="eastAsia" w:ascii="宋体" w:hAnsi="宋体" w:cs="宋体"/>
          <w:color w:val="000000"/>
          <w:sz w:val="24"/>
          <w:szCs w:val="24"/>
          <w:highlight w:val="none"/>
        </w:rPr>
        <w:t xml:space="preserve"> 《食品安全国家标准 食品中兽药最大残留限量》。</w:t>
      </w:r>
    </w:p>
    <w:p>
      <w:pPr>
        <w:rPr>
          <w:rFonts w:hint="eastAsia" w:ascii="宋体" w:hAnsi="宋体" w:cs="宋体"/>
          <w:color w:val="000000"/>
          <w:sz w:val="24"/>
          <w:szCs w:val="24"/>
          <w:highlight w:val="none"/>
        </w:rPr>
      </w:pPr>
      <w:r>
        <w:rPr>
          <w:rFonts w:hint="eastAsia" w:ascii="宋体" w:hAnsi="宋体" w:cs="宋体"/>
          <w:color w:val="000000"/>
          <w:sz w:val="24"/>
          <w:szCs w:val="24"/>
          <w:highlight w:val="none"/>
        </w:rPr>
        <w:t>4.2.6.以上法规标准如有变化时，按最新标准执行。</w:t>
      </w:r>
    </w:p>
    <w:p>
      <w:pPr>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5.日常食材配送的具体品种和数量，均以采购人下达的订单执行。</w:t>
      </w:r>
    </w:p>
    <w:p>
      <w:pP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bCs/>
          <w:sz w:val="24"/>
          <w:szCs w:val="24"/>
          <w:highlight w:val="none"/>
        </w:rPr>
        <w:t>★</w:t>
      </w:r>
      <w:r>
        <w:rPr>
          <w:rFonts w:hint="eastAsia" w:ascii="宋体" w:hAnsi="宋体" w:cs="宋体"/>
          <w:color w:val="000000" w:themeColor="text1"/>
          <w:sz w:val="24"/>
          <w:szCs w:val="24"/>
          <w:highlight w:val="none"/>
          <w:lang w:val="en-US" w:eastAsia="zh-CN"/>
          <w14:textFill>
            <w14:solidFill>
              <w14:schemeClr w14:val="tx1"/>
            </w14:solidFill>
          </w14:textFill>
        </w:rPr>
        <w:t>6.定价方式：</w:t>
      </w:r>
    </w:p>
    <w:p>
      <w:pP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6.1.</w:t>
      </w:r>
      <w:r>
        <w:rPr>
          <w:rFonts w:hint="eastAsia" w:ascii="宋体" w:hAnsi="宋体" w:cs="宋体"/>
          <w:color w:val="000000" w:themeColor="text1"/>
          <w:sz w:val="24"/>
          <w:szCs w:val="24"/>
          <w:highlight w:val="none"/>
          <w14:textFill>
            <w14:solidFill>
              <w14:schemeClr w14:val="tx1"/>
            </w14:solidFill>
          </w14:textFill>
        </w:rPr>
        <w:t>本项目</w:t>
      </w:r>
      <w:r>
        <w:rPr>
          <w:rFonts w:hint="eastAsia" w:ascii="宋体" w:hAnsi="宋体" w:cs="宋体"/>
          <w:color w:val="000000" w:themeColor="text1"/>
          <w:sz w:val="24"/>
          <w:szCs w:val="24"/>
          <w:highlight w:val="none"/>
          <w:lang w:val="en-US" w:eastAsia="zh-CN"/>
          <w14:textFill>
            <w14:solidFill>
              <w14:schemeClr w14:val="tx1"/>
            </w14:solidFill>
          </w14:textFill>
        </w:rPr>
        <w:t>供应商统一以结算率</w:t>
      </w:r>
      <w:r>
        <w:rPr>
          <w:rFonts w:hint="eastAsia" w:ascii="宋体" w:hAnsi="宋体" w:cs="宋体"/>
          <w:color w:val="000000" w:themeColor="text1"/>
          <w:sz w:val="24"/>
          <w:szCs w:val="24"/>
          <w:highlight w:val="none"/>
          <w14:textFill>
            <w14:solidFill>
              <w14:schemeClr w14:val="tx1"/>
            </w14:solidFill>
          </w14:textFill>
        </w:rPr>
        <w:t>报价</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以百分比表示，</w:t>
      </w:r>
      <w:r>
        <w:rPr>
          <w:rFonts w:hint="eastAsia" w:ascii="宋体" w:hAnsi="宋体" w:cs="宋体"/>
          <w:color w:val="000000" w:themeColor="text1"/>
          <w:sz w:val="24"/>
          <w:szCs w:val="24"/>
          <w:highlight w:val="none"/>
          <w14:textFill>
            <w14:solidFill>
              <w14:schemeClr w14:val="tx1"/>
            </w14:solidFill>
          </w14:textFill>
        </w:rPr>
        <w:t>百分比精确到小数点后两位)</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结算</w:t>
      </w:r>
      <w:r>
        <w:rPr>
          <w:rFonts w:hint="eastAsia" w:ascii="宋体" w:hAnsi="宋体" w:cs="宋体"/>
          <w:color w:val="000000" w:themeColor="text1"/>
          <w:sz w:val="24"/>
          <w:szCs w:val="24"/>
          <w:highlight w:val="none"/>
          <w14:textFill>
            <w14:solidFill>
              <w14:schemeClr w14:val="tx1"/>
            </w14:solidFill>
          </w14:textFill>
        </w:rPr>
        <w:t>率存在负数、超过百分之百或有多个报价（</w:t>
      </w:r>
      <w:r>
        <w:rPr>
          <w:rFonts w:hint="eastAsia" w:ascii="宋体" w:hAnsi="宋体" w:cs="宋体"/>
          <w:color w:val="000000" w:themeColor="text1"/>
          <w:sz w:val="24"/>
          <w:szCs w:val="24"/>
          <w:highlight w:val="none"/>
          <w:lang w:val="en-US" w:eastAsia="zh-CN"/>
          <w14:textFill>
            <w14:solidFill>
              <w14:schemeClr w14:val="tx1"/>
            </w14:solidFill>
          </w14:textFill>
        </w:rPr>
        <w:t>结算</w:t>
      </w:r>
      <w:r>
        <w:rPr>
          <w:rFonts w:hint="eastAsia" w:ascii="宋体" w:hAnsi="宋体" w:cs="宋体"/>
          <w:color w:val="000000" w:themeColor="text1"/>
          <w:sz w:val="24"/>
          <w:szCs w:val="24"/>
          <w:highlight w:val="none"/>
          <w14:textFill>
            <w14:solidFill>
              <w14:schemeClr w14:val="tx1"/>
            </w14:solidFill>
          </w14:textFill>
        </w:rPr>
        <w:t>率）的情形，投标文件按无效处理。</w:t>
      </w:r>
      <w:r>
        <w:rPr>
          <w:rFonts w:hint="eastAsia" w:ascii="宋体" w:hAnsi="宋体" w:cs="宋体"/>
          <w:color w:val="000000" w:themeColor="text1"/>
          <w:sz w:val="24"/>
          <w:szCs w:val="24"/>
          <w:highlight w:val="none"/>
          <w:lang w:val="en-US" w:eastAsia="zh-CN"/>
          <w14:textFill>
            <w14:solidFill>
              <w14:schemeClr w14:val="tx1"/>
            </w14:solidFill>
          </w14:textFill>
        </w:rPr>
        <w:t>供应商的报价是响应本项目要求的全部工作内容的价格体现，包括供应商完成本项目所需的人工劳务、货物成本、包装、运输、装卸、保险以及</w:t>
      </w:r>
      <w:r>
        <w:rPr>
          <w:rFonts w:hint="eastAsia" w:ascii="宋体" w:hAnsi="宋体" w:cs="宋体"/>
          <w:color w:val="000000" w:themeColor="text1"/>
          <w:sz w:val="24"/>
          <w:szCs w:val="24"/>
          <w:highlight w:val="none"/>
          <w14:textFill>
            <w14:solidFill>
              <w14:schemeClr w14:val="tx1"/>
            </w14:solidFill>
          </w14:textFill>
        </w:rPr>
        <w:t>合同实施过程可预见及不可预见费用等</w:t>
      </w:r>
      <w:r>
        <w:rPr>
          <w:rFonts w:hint="eastAsia" w:ascii="宋体" w:hAnsi="宋体" w:cs="宋体"/>
          <w:color w:val="000000" w:themeColor="text1"/>
          <w:sz w:val="24"/>
          <w:szCs w:val="24"/>
          <w:highlight w:val="none"/>
          <w:lang w:val="en-US" w:eastAsia="zh-CN"/>
          <w14:textFill>
            <w14:solidFill>
              <w14:schemeClr w14:val="tx1"/>
            </w14:solidFill>
          </w14:textFill>
        </w:rPr>
        <w:t>一切成本和费用。</w:t>
      </w:r>
    </w:p>
    <w:p>
      <w:pPr>
        <w:keepNext w:val="0"/>
        <w:keepLines w:val="0"/>
        <w:widowControl/>
        <w:suppressLineNumbers w:val="0"/>
        <w:jc w:val="left"/>
        <w:textAlignment w:val="center"/>
        <w:rPr>
          <w:rFonts w:hint="default" w:ascii="宋体" w:hAnsi="宋体" w:cs="宋体"/>
          <w:color w:val="000000"/>
          <w:sz w:val="24"/>
          <w:szCs w:val="24"/>
          <w:highlight w:val="none"/>
          <w:lang w:val="en-US" w:eastAsia="zh-CN"/>
        </w:rPr>
      </w:pPr>
      <w:r>
        <w:rPr>
          <w:rFonts w:hint="eastAsia" w:ascii="宋体" w:hAnsi="宋体" w:cs="宋体"/>
          <w:color w:val="000000" w:themeColor="text1"/>
          <w:sz w:val="24"/>
          <w:szCs w:val="24"/>
          <w:highlight w:val="none"/>
          <w:lang w:val="en-US" w:eastAsia="zh-CN"/>
          <w14:textFill>
            <w14:solidFill>
              <w14:schemeClr w14:val="tx1"/>
            </w14:solidFill>
          </w14:textFill>
        </w:rPr>
        <w:t>6.2.</w:t>
      </w:r>
      <w:r>
        <w:rPr>
          <w:rFonts w:hint="eastAsia" w:ascii="宋体" w:hAnsi="宋体" w:cs="宋体"/>
          <w:color w:val="000000" w:themeColor="text1"/>
          <w:sz w:val="24"/>
          <w:szCs w:val="24"/>
          <w:highlight w:val="none"/>
          <w14:textFill>
            <w14:solidFill>
              <w14:schemeClr w14:val="tx1"/>
            </w14:solidFill>
          </w14:textFill>
        </w:rPr>
        <w:t>结算价的确定：结算价=供货基准价*</w:t>
      </w:r>
      <w:r>
        <w:rPr>
          <w:rFonts w:hint="eastAsia" w:ascii="宋体" w:hAnsi="宋体" w:cs="宋体"/>
          <w:color w:val="000000" w:themeColor="text1"/>
          <w:sz w:val="24"/>
          <w:szCs w:val="24"/>
          <w:highlight w:val="none"/>
          <w:lang w:val="en-US" w:eastAsia="zh-CN"/>
          <w14:textFill>
            <w14:solidFill>
              <w14:schemeClr w14:val="tx1"/>
            </w14:solidFill>
          </w14:textFill>
        </w:rPr>
        <w:t>结算</w:t>
      </w:r>
      <w:r>
        <w:rPr>
          <w:rFonts w:hint="eastAsia" w:ascii="宋体" w:hAnsi="宋体" w:cs="宋体"/>
          <w:color w:val="000000" w:themeColor="text1"/>
          <w:sz w:val="24"/>
          <w:szCs w:val="24"/>
          <w:highlight w:val="none"/>
          <w14:textFill>
            <w14:solidFill>
              <w14:schemeClr w14:val="tx1"/>
            </w14:solidFill>
          </w14:textFill>
        </w:rPr>
        <w:t>率</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计算结果按四舍五入处理，保留两位小数</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sz w:val="24"/>
          <w:szCs w:val="24"/>
          <w:highlight w:val="none"/>
          <w:lang w:val="en-US" w:eastAsia="zh-CN"/>
        </w:rPr>
        <w:t>举例说明：假设采购人采购老抽，依据双方确定的基准价12.6元/瓶，若中标结算率为83%，则结算价计算如下：12.6 * 83% =10.46元/瓶。</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sz w:val="24"/>
          <w:szCs w:val="24"/>
          <w:highlight w:val="none"/>
          <w:lang w:val="en-US" w:eastAsia="zh-CN"/>
        </w:rPr>
        <w:t>6.3.供</w:t>
      </w:r>
      <w:r>
        <w:rPr>
          <w:rFonts w:hint="eastAsia" w:ascii="宋体" w:hAnsi="宋体" w:cs="宋体"/>
          <w:color w:val="000000" w:themeColor="text1"/>
          <w:sz w:val="24"/>
          <w:szCs w:val="24"/>
          <w:highlight w:val="none"/>
          <w14:textFill>
            <w14:solidFill>
              <w14:schemeClr w14:val="tx1"/>
            </w14:solidFill>
          </w14:textFill>
        </w:rPr>
        <w:t>货基准价的确定：</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sz w:val="24"/>
          <w:szCs w:val="24"/>
          <w:highlight w:val="none"/>
          <w:lang w:val="en-US" w:eastAsia="zh-CN"/>
        </w:rPr>
        <w:t>6.3.1.</w:t>
      </w:r>
      <w:r>
        <w:rPr>
          <w:rFonts w:hint="eastAsia" w:ascii="宋体" w:hAnsi="宋体" w:cs="宋体"/>
          <w:color w:val="000000" w:themeColor="text1"/>
          <w:sz w:val="24"/>
          <w:szCs w:val="24"/>
          <w:highlight w:val="none"/>
          <w14:textFill>
            <w14:solidFill>
              <w14:schemeClr w14:val="tx1"/>
            </w14:solidFill>
          </w14:textFill>
        </w:rPr>
        <w:t>货物价格以</w:t>
      </w:r>
      <w:r>
        <w:rPr>
          <w:rFonts w:hint="eastAsia" w:ascii="宋体" w:hAnsi="宋体" w:cs="宋体"/>
          <w:color w:val="000000" w:themeColor="text1"/>
          <w:sz w:val="24"/>
          <w:szCs w:val="24"/>
          <w:highlight w:val="none"/>
          <w:lang w:eastAsia="zh-CN"/>
          <w14:textFill>
            <w14:solidFill>
              <w14:schemeClr w14:val="tx1"/>
            </w14:solidFill>
          </w14:textFill>
        </w:rPr>
        <w:t>成都市</w:t>
      </w:r>
      <w:r>
        <w:rPr>
          <w:rFonts w:hint="eastAsia" w:ascii="宋体" w:hAnsi="宋体" w:cs="宋体"/>
          <w:color w:val="000000" w:themeColor="text1"/>
          <w:sz w:val="24"/>
          <w:szCs w:val="24"/>
          <w:highlight w:val="none"/>
          <w14:textFill>
            <w14:solidFill>
              <w14:schemeClr w14:val="tx1"/>
            </w14:solidFill>
          </w14:textFill>
        </w:rPr>
        <w:t>发改委每月首次发布的《</w:t>
      </w:r>
      <w:r>
        <w:rPr>
          <w:rFonts w:hint="eastAsia" w:ascii="宋体" w:hAnsi="宋体" w:cs="宋体"/>
          <w:color w:val="000000" w:themeColor="text1"/>
          <w:sz w:val="24"/>
          <w:szCs w:val="24"/>
          <w:highlight w:val="none"/>
          <w:lang w:eastAsia="zh-CN"/>
          <w14:textFill>
            <w14:solidFill>
              <w14:schemeClr w14:val="tx1"/>
            </w14:solidFill>
          </w14:textFill>
        </w:rPr>
        <w:t>成都市发展和改革委员会-</w:t>
      </w:r>
      <w:r>
        <w:rPr>
          <w:rFonts w:hint="eastAsia" w:ascii="宋体" w:hAnsi="宋体" w:cs="宋体"/>
          <w:color w:val="000000" w:themeColor="text1"/>
          <w:sz w:val="24"/>
          <w:szCs w:val="24"/>
          <w:highlight w:val="none"/>
          <w:lang w:val="en-US" w:eastAsia="zh-CN"/>
          <w14:textFill>
            <w14:solidFill>
              <w14:schemeClr w14:val="tx1"/>
            </w14:solidFill>
          </w14:textFill>
        </w:rPr>
        <w:t>价格和收费信息公开-中心城区部分农贸市场价格</w:t>
      </w:r>
      <w:r>
        <w:rPr>
          <w:rFonts w:hint="eastAsia" w:ascii="宋体" w:hAnsi="宋体" w:cs="宋体"/>
          <w:color w:val="000000" w:themeColor="text1"/>
          <w:sz w:val="24"/>
          <w:szCs w:val="24"/>
          <w:highlight w:val="none"/>
          <w14:textFill>
            <w14:solidFill>
              <w14:schemeClr w14:val="tx1"/>
            </w14:solidFill>
          </w14:textFill>
        </w:rPr>
        <w:t>》作为基准价参考。</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sz w:val="24"/>
          <w:szCs w:val="24"/>
          <w:highlight w:val="none"/>
          <w:lang w:val="en-US" w:eastAsia="zh-CN"/>
        </w:rPr>
        <w:t>6.3.2.</w:t>
      </w:r>
      <w:r>
        <w:rPr>
          <w:rFonts w:hint="eastAsia" w:ascii="宋体" w:hAnsi="宋体" w:cs="宋体"/>
          <w:color w:val="000000" w:themeColor="text1"/>
          <w:sz w:val="24"/>
          <w:szCs w:val="24"/>
          <w:highlight w:val="none"/>
          <w14:textFill>
            <w14:solidFill>
              <w14:schemeClr w14:val="tx1"/>
            </w14:solidFill>
          </w14:textFill>
        </w:rPr>
        <w:t>所供货物不在《</w:t>
      </w:r>
      <w:r>
        <w:rPr>
          <w:rFonts w:hint="eastAsia" w:ascii="宋体" w:hAnsi="宋体" w:cs="宋体"/>
          <w:color w:val="000000" w:themeColor="text1"/>
          <w:sz w:val="24"/>
          <w:szCs w:val="24"/>
          <w:highlight w:val="none"/>
          <w:lang w:eastAsia="zh-CN"/>
          <w14:textFill>
            <w14:solidFill>
              <w14:schemeClr w14:val="tx1"/>
            </w14:solidFill>
          </w14:textFill>
        </w:rPr>
        <w:t>成都市发展和改革委员会-</w:t>
      </w:r>
      <w:r>
        <w:rPr>
          <w:rFonts w:hint="eastAsia" w:ascii="宋体" w:hAnsi="宋体" w:cs="宋体"/>
          <w:color w:val="000000" w:themeColor="text1"/>
          <w:sz w:val="24"/>
          <w:szCs w:val="24"/>
          <w:highlight w:val="none"/>
          <w:lang w:val="en-US" w:eastAsia="zh-CN"/>
          <w14:textFill>
            <w14:solidFill>
              <w14:schemeClr w14:val="tx1"/>
            </w14:solidFill>
          </w14:textFill>
        </w:rPr>
        <w:t>价格和收费信息公开-中心城区部分农贸市场价格</w:t>
      </w:r>
      <w:r>
        <w:rPr>
          <w:rFonts w:hint="eastAsia" w:ascii="宋体" w:hAnsi="宋体" w:cs="宋体"/>
          <w:color w:val="000000" w:themeColor="text1"/>
          <w:sz w:val="24"/>
          <w:szCs w:val="24"/>
          <w:highlight w:val="none"/>
          <w14:textFill>
            <w14:solidFill>
              <w14:schemeClr w14:val="tx1"/>
            </w14:solidFill>
          </w14:textFill>
        </w:rPr>
        <w:t>》内的，首先参照</w:t>
      </w:r>
      <w:r>
        <w:rPr>
          <w:rFonts w:hint="eastAsia" w:ascii="宋体" w:hAnsi="宋体" w:cs="宋体"/>
          <w:color w:val="000000" w:themeColor="text1"/>
          <w:sz w:val="24"/>
          <w:szCs w:val="24"/>
          <w:highlight w:val="none"/>
          <w:lang w:eastAsia="zh-CN"/>
          <w14:textFill>
            <w14:solidFill>
              <w14:schemeClr w14:val="tx1"/>
            </w14:solidFill>
          </w14:textFill>
        </w:rPr>
        <w:t>《成都市城市居民生活价格服务公益平台》</w:t>
      </w:r>
      <w:r>
        <w:rPr>
          <w:rFonts w:hint="eastAsia" w:ascii="宋体" w:hAnsi="宋体" w:cs="宋体"/>
          <w:color w:val="000000" w:themeColor="text1"/>
          <w:sz w:val="24"/>
          <w:szCs w:val="24"/>
          <w:highlight w:val="none"/>
          <w:lang w:val="en-US" w:eastAsia="zh-CN"/>
          <w14:textFill>
            <w14:solidFill>
              <w14:schemeClr w14:val="tx1"/>
            </w14:solidFill>
          </w14:textFill>
        </w:rPr>
        <w:t>发布</w:t>
      </w:r>
      <w:r>
        <w:rPr>
          <w:rFonts w:hint="eastAsia" w:ascii="宋体" w:hAnsi="宋体" w:cs="宋体"/>
          <w:color w:val="000000" w:themeColor="text1"/>
          <w:sz w:val="24"/>
          <w:szCs w:val="24"/>
          <w:highlight w:val="none"/>
          <w14:textFill>
            <w14:solidFill>
              <w14:schemeClr w14:val="tx1"/>
            </w14:solidFill>
          </w14:textFill>
        </w:rPr>
        <w:t>的市场平均价作为基准价。</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sz w:val="24"/>
          <w:szCs w:val="24"/>
          <w:highlight w:val="none"/>
          <w:lang w:val="en-US" w:eastAsia="zh-CN"/>
        </w:rPr>
        <w:t>6.3.3.</w:t>
      </w:r>
      <w:r>
        <w:rPr>
          <w:rFonts w:hint="eastAsia" w:ascii="宋体" w:hAnsi="宋体" w:cs="宋体"/>
          <w:color w:val="000000" w:themeColor="text1"/>
          <w:sz w:val="24"/>
          <w:szCs w:val="24"/>
          <w:highlight w:val="none"/>
          <w14:textFill>
            <w14:solidFill>
              <w14:schemeClr w14:val="tx1"/>
            </w14:solidFill>
          </w14:textFill>
        </w:rPr>
        <w:t>如果采购货物未在</w:t>
      </w:r>
      <w:r>
        <w:rPr>
          <w:rFonts w:hint="eastAsia" w:ascii="宋体" w:hAnsi="宋体" w:cs="宋体"/>
          <w:color w:val="000000" w:themeColor="text1"/>
          <w:sz w:val="24"/>
          <w:szCs w:val="24"/>
          <w:highlight w:val="none"/>
          <w:lang w:eastAsia="zh-CN"/>
          <w14:textFill>
            <w14:solidFill>
              <w14:schemeClr w14:val="tx1"/>
            </w14:solidFill>
          </w14:textFill>
        </w:rPr>
        <w:t>《成都市城市居民生活价格服务</w:t>
      </w:r>
      <w:r>
        <w:rPr>
          <w:rFonts w:hint="eastAsia" w:ascii="宋体" w:hAnsi="宋体" w:cs="宋体"/>
          <w:color w:val="000000" w:themeColor="text1"/>
          <w:sz w:val="24"/>
          <w:szCs w:val="24"/>
          <w:highlight w:val="none"/>
          <w:lang w:val="en-US" w:eastAsia="zh-CN"/>
          <w14:textFill>
            <w14:solidFill>
              <w14:schemeClr w14:val="tx1"/>
            </w14:solidFill>
          </w14:textFill>
        </w:rPr>
        <w:t>公益</w:t>
      </w:r>
      <w:r>
        <w:rPr>
          <w:rFonts w:hint="eastAsia" w:ascii="宋体" w:hAnsi="宋体" w:cs="宋体"/>
          <w:color w:val="000000" w:themeColor="text1"/>
          <w:sz w:val="24"/>
          <w:szCs w:val="24"/>
          <w:highlight w:val="none"/>
          <w:lang w:eastAsia="zh-CN"/>
          <w14:textFill>
            <w14:solidFill>
              <w14:schemeClr w14:val="tx1"/>
            </w14:solidFill>
          </w14:textFill>
        </w:rPr>
        <w:t>平台》</w:t>
      </w:r>
      <w:r>
        <w:rPr>
          <w:rFonts w:hint="eastAsia" w:ascii="宋体" w:hAnsi="宋体" w:cs="宋体"/>
          <w:color w:val="000000" w:themeColor="text1"/>
          <w:sz w:val="24"/>
          <w:szCs w:val="24"/>
          <w:highlight w:val="none"/>
          <w:lang w:val="en-US" w:eastAsia="zh-CN"/>
          <w14:textFill>
            <w14:solidFill>
              <w14:schemeClr w14:val="tx1"/>
            </w14:solidFill>
          </w14:textFill>
        </w:rPr>
        <w:t>内的</w:t>
      </w:r>
      <w:r>
        <w:rPr>
          <w:rFonts w:hint="eastAsia" w:ascii="宋体" w:hAnsi="宋体" w:cs="宋体"/>
          <w:color w:val="000000" w:themeColor="text1"/>
          <w:sz w:val="24"/>
          <w:szCs w:val="24"/>
          <w:highlight w:val="none"/>
          <w14:textFill>
            <w14:solidFill>
              <w14:schemeClr w14:val="tx1"/>
            </w14:solidFill>
          </w14:textFill>
        </w:rPr>
        <w:t>，则在项目所在地就近的综合市场或大型超市进行联合采价作为基准价（每次采价由院方随机抽取），</w:t>
      </w:r>
      <w:r>
        <w:rPr>
          <w:rFonts w:hint="eastAsia" w:ascii="宋体" w:hAnsi="宋体" w:cs="宋体"/>
          <w:color w:val="000000"/>
          <w:sz w:val="24"/>
          <w:szCs w:val="24"/>
          <w:highlight w:val="none"/>
          <w:lang w:val="en-US" w:eastAsia="zh-CN"/>
        </w:rPr>
        <w:t>基准价为该市场的常规零售标价，临时性、短期性促销价格（如店庆、限时特价）、会员专享价、破损或临期商品处理等非正常售价，不作为基准价，采购结果应由采购方、供应方共同签字确认。</w:t>
      </w:r>
    </w:p>
    <w:p>
      <w:pPr>
        <w:pStyle w:val="2"/>
        <w:rPr>
          <w:rFonts w:hint="eastAsia"/>
          <w:highlight w:val="none"/>
          <w:lang w:val="en-US" w:eastAsia="zh-CN"/>
        </w:rPr>
      </w:pPr>
      <w:r>
        <w:rPr>
          <w:rFonts w:hint="eastAsia" w:ascii="宋体" w:hAnsi="宋体" w:cs="宋体"/>
          <w:color w:val="000000" w:themeColor="text1"/>
          <w:sz w:val="24"/>
          <w:szCs w:val="24"/>
          <w:highlight w:val="none"/>
          <w:lang w:val="en-US" w:eastAsia="zh-CN"/>
          <w14:textFill>
            <w14:solidFill>
              <w14:schemeClr w14:val="tx1"/>
            </w14:solidFill>
          </w14:textFill>
        </w:rPr>
        <w:t>6.3.4.</w:t>
      </w:r>
      <w:r>
        <w:rPr>
          <w:rFonts w:hint="eastAsia" w:ascii="宋体" w:hAnsi="宋体" w:cs="宋体"/>
          <w:color w:val="000000" w:themeColor="text1"/>
          <w:sz w:val="24"/>
          <w:szCs w:val="24"/>
          <w:highlight w:val="none"/>
          <w14:textFill>
            <w14:solidFill>
              <w14:schemeClr w14:val="tx1"/>
            </w14:solidFill>
          </w14:textFill>
        </w:rPr>
        <w:t>该项目采价周期为每</w:t>
      </w:r>
      <w:r>
        <w:rPr>
          <w:rFonts w:hint="eastAsia" w:hAnsi="宋体" w:cs="宋体"/>
          <w:color w:val="000000" w:themeColor="text1"/>
          <w:sz w:val="24"/>
          <w:szCs w:val="24"/>
          <w:highlight w:val="none"/>
          <w:lang w:val="en-US" w:eastAsia="zh-CN"/>
          <w14:textFill>
            <w14:solidFill>
              <w14:schemeClr w14:val="tx1"/>
            </w14:solidFill>
          </w14:textFill>
        </w:rPr>
        <w:t>季度</w:t>
      </w:r>
      <w:r>
        <w:rPr>
          <w:rFonts w:hint="eastAsia" w:ascii="宋体" w:hAnsi="宋体" w:cs="宋体"/>
          <w:color w:val="000000" w:themeColor="text1"/>
          <w:sz w:val="24"/>
          <w:szCs w:val="24"/>
          <w:highlight w:val="none"/>
          <w14:textFill>
            <w14:solidFill>
              <w14:schemeClr w14:val="tx1"/>
            </w14:solidFill>
          </w14:textFill>
        </w:rPr>
        <w:t>一次。</w:t>
      </w:r>
    </w:p>
    <w:p>
      <w:pPr>
        <w:rPr>
          <w:rFonts w:hint="eastAsia" w:ascii="宋体" w:hAnsi="宋体" w:cs="宋体"/>
          <w:color w:val="000000"/>
          <w:sz w:val="24"/>
          <w:szCs w:val="24"/>
          <w:highlight w:val="none"/>
        </w:rPr>
      </w:pPr>
      <w:r>
        <w:rPr>
          <w:rFonts w:hint="eastAsia" w:ascii="宋体" w:hAnsi="宋体" w:cs="宋体"/>
          <w:color w:val="000000"/>
          <w:sz w:val="24"/>
          <w:szCs w:val="24"/>
          <w:highlight w:val="none"/>
        </w:rPr>
        <w:t>7.所供货物应能在政府指定的食品溯源系统进行有效溯源。</w:t>
      </w:r>
    </w:p>
    <w:p>
      <w:pPr>
        <w:pStyle w:val="2"/>
        <w:rPr>
          <w:rFonts w:ascii="宋体" w:hAnsi="宋体" w:eastAsia="宋体" w:cs="宋体"/>
          <w:sz w:val="24"/>
          <w:szCs w:val="24"/>
          <w:highlight w:val="none"/>
        </w:rPr>
      </w:pPr>
      <w:r>
        <w:rPr>
          <w:rFonts w:hint="eastAsia" w:hAnsi="宋体" w:cs="宋体"/>
          <w:sz w:val="24"/>
          <w:szCs w:val="24"/>
          <w:highlight w:val="none"/>
          <w:lang w:val="en-US" w:eastAsia="zh-CN"/>
        </w:rPr>
        <w:t>8服务期限：</w:t>
      </w:r>
      <w:r>
        <w:rPr>
          <w:rFonts w:ascii="宋体" w:hAnsi="宋体" w:eastAsia="宋体" w:cs="宋体"/>
          <w:sz w:val="24"/>
          <w:szCs w:val="24"/>
          <w:highlight w:val="none"/>
        </w:rPr>
        <w:t>本项目服务期限</w:t>
      </w:r>
      <w:r>
        <w:rPr>
          <w:rFonts w:hint="eastAsia" w:hAnsi="宋体" w:cs="宋体"/>
          <w:sz w:val="24"/>
          <w:szCs w:val="24"/>
          <w:highlight w:val="none"/>
          <w:lang w:val="en-US" w:eastAsia="zh-CN"/>
        </w:rPr>
        <w:t>3</w:t>
      </w:r>
      <w:r>
        <w:rPr>
          <w:rFonts w:ascii="宋体" w:hAnsi="宋体" w:eastAsia="宋体" w:cs="宋体"/>
          <w:sz w:val="24"/>
          <w:szCs w:val="24"/>
          <w:highlight w:val="none"/>
        </w:rPr>
        <w:t>年，合同一年一签。经</w:t>
      </w:r>
      <w:r>
        <w:rPr>
          <w:rFonts w:hint="eastAsia" w:ascii="宋体" w:hAnsi="宋体" w:cs="宋体"/>
          <w:sz w:val="24"/>
          <w:szCs w:val="24"/>
          <w:highlight w:val="none"/>
          <w:lang w:val="en-US" w:eastAsia="zh-CN"/>
        </w:rPr>
        <w:t>采购</w:t>
      </w:r>
      <w:r>
        <w:rPr>
          <w:rFonts w:ascii="宋体" w:hAnsi="宋体" w:eastAsia="宋体" w:cs="宋体"/>
          <w:sz w:val="24"/>
          <w:szCs w:val="24"/>
          <w:highlight w:val="none"/>
        </w:rPr>
        <w:t>方年度考核</w:t>
      </w:r>
      <w:r>
        <w:rPr>
          <w:rFonts w:hint="eastAsia" w:hAnsi="宋体" w:cs="宋体"/>
          <w:sz w:val="24"/>
          <w:szCs w:val="24"/>
          <w:highlight w:val="none"/>
          <w:lang w:val="en-US" w:eastAsia="zh-CN"/>
        </w:rPr>
        <w:t>副食品</w:t>
      </w:r>
      <w:r>
        <w:rPr>
          <w:rFonts w:ascii="宋体" w:hAnsi="宋体" w:eastAsia="宋体" w:cs="宋体"/>
          <w:sz w:val="24"/>
          <w:szCs w:val="24"/>
          <w:highlight w:val="none"/>
        </w:rPr>
        <w:t>供应服务合格（不合格为一个合同年度内累计三个月考核低于</w:t>
      </w:r>
      <w:r>
        <w:rPr>
          <w:rFonts w:hint="eastAsia" w:ascii="宋体" w:hAnsi="宋体" w:cs="宋体"/>
          <w:sz w:val="24"/>
          <w:szCs w:val="24"/>
          <w:highlight w:val="none"/>
          <w:lang w:val="en-US" w:eastAsia="zh-CN"/>
        </w:rPr>
        <w:t>85</w:t>
      </w:r>
      <w:r>
        <w:rPr>
          <w:rFonts w:ascii="宋体" w:hAnsi="宋体" w:eastAsia="宋体" w:cs="宋体"/>
          <w:sz w:val="24"/>
          <w:szCs w:val="24"/>
          <w:highlight w:val="none"/>
        </w:rPr>
        <w:t>分）,方可续签下一年度合同。</w:t>
      </w:r>
      <w:r>
        <w:rPr>
          <w:rFonts w:ascii="宋体" w:hAnsi="宋体" w:eastAsia="宋体" w:cs="宋体"/>
          <w:sz w:val="24"/>
          <w:szCs w:val="24"/>
          <w:highlight w:val="none"/>
        </w:rPr>
        <w:br w:type="textWrapping"/>
      </w:r>
    </w:p>
    <w:p>
      <w:pPr>
        <w:pStyle w:val="2"/>
        <w:rPr>
          <w:rFonts w:ascii="宋体" w:hAnsi="宋体" w:cs="宋体"/>
          <w:color w:val="000000"/>
          <w:sz w:val="24"/>
          <w:szCs w:val="24"/>
          <w:highlight w:val="none"/>
        </w:rPr>
      </w:pPr>
      <w:r>
        <w:rPr>
          <w:rFonts w:hint="eastAsia" w:ascii="宋体" w:hAnsi="宋体" w:cs="宋体"/>
          <w:color w:val="000000"/>
          <w:sz w:val="24"/>
          <w:szCs w:val="24"/>
          <w:highlight w:val="none"/>
        </w:rPr>
        <w:t>第四包：</w:t>
      </w:r>
    </w:p>
    <w:p>
      <w:pPr>
        <w:rPr>
          <w:rFonts w:ascii="宋体" w:hAnsi="宋体" w:cs="宋体"/>
          <w:color w:val="000000"/>
          <w:sz w:val="24"/>
          <w:szCs w:val="24"/>
          <w:highlight w:val="none"/>
        </w:rPr>
      </w:pPr>
      <w:r>
        <w:rPr>
          <w:rFonts w:hint="eastAsia" w:ascii="宋体" w:hAnsi="宋体" w:cs="宋体"/>
          <w:color w:val="000000"/>
          <w:sz w:val="24"/>
          <w:szCs w:val="24"/>
          <w:highlight w:val="none"/>
        </w:rPr>
        <w:t>1.粮油</w:t>
      </w:r>
      <w:r>
        <w:rPr>
          <w:rFonts w:hint="eastAsia" w:ascii="宋体" w:hAnsi="宋体" w:cs="宋体"/>
          <w:color w:val="000000"/>
          <w:sz w:val="24"/>
          <w:szCs w:val="24"/>
          <w:highlight w:val="none"/>
          <w:lang w:val="en-US" w:eastAsia="zh-CN"/>
        </w:rPr>
        <w:t>供应服务</w:t>
      </w:r>
      <w:r>
        <w:rPr>
          <w:rFonts w:hint="eastAsia" w:ascii="宋体" w:hAnsi="宋体" w:cs="宋体"/>
          <w:color w:val="000000"/>
          <w:sz w:val="24"/>
          <w:szCs w:val="24"/>
          <w:highlight w:val="none"/>
        </w:rPr>
        <w:t>内容:</w:t>
      </w:r>
    </w:p>
    <w:tbl>
      <w:tblPr>
        <w:tblStyle w:val="10"/>
        <w:tblpPr w:leftFromText="180" w:rightFromText="180" w:vertAnchor="text" w:horzAnchor="page" w:tblpX="1081" w:tblpY="411"/>
        <w:tblOverlap w:val="never"/>
        <w:tblW w:w="5037" w:type="pct"/>
        <w:tblInd w:w="0" w:type="dxa"/>
        <w:tblLayout w:type="fixed"/>
        <w:tblCellMar>
          <w:top w:w="0" w:type="dxa"/>
          <w:left w:w="108" w:type="dxa"/>
          <w:bottom w:w="0" w:type="dxa"/>
          <w:right w:w="108" w:type="dxa"/>
        </w:tblCellMar>
      </w:tblPr>
      <w:tblGrid>
        <w:gridCol w:w="969"/>
        <w:gridCol w:w="2084"/>
        <w:gridCol w:w="6983"/>
      </w:tblGrid>
      <w:tr>
        <w:trPr>
          <w:trHeight w:val="90" w:hRule="atLeast"/>
        </w:trPr>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b/>
                <w:bCs w:val="0"/>
                <w:color w:val="000000"/>
                <w:sz w:val="21"/>
                <w:szCs w:val="21"/>
                <w:highlight w:val="none"/>
              </w:rPr>
            </w:pPr>
            <w:r>
              <w:rPr>
                <w:rFonts w:hint="eastAsia" w:ascii="宋体" w:hAnsi="宋体" w:eastAsia="宋体" w:cs="宋体"/>
                <w:b/>
                <w:bCs w:val="0"/>
                <w:color w:val="000000"/>
                <w:kern w:val="0"/>
                <w:sz w:val="21"/>
                <w:szCs w:val="21"/>
                <w:highlight w:val="none"/>
              </w:rPr>
              <w:t>序号</w:t>
            </w:r>
          </w:p>
        </w:tc>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b/>
                <w:bCs w:val="0"/>
                <w:color w:val="000000"/>
                <w:sz w:val="21"/>
                <w:szCs w:val="21"/>
                <w:highlight w:val="none"/>
              </w:rPr>
            </w:pPr>
            <w:r>
              <w:rPr>
                <w:rStyle w:val="18"/>
                <w:rFonts w:hint="eastAsia" w:ascii="宋体" w:hAnsi="宋体" w:eastAsia="宋体" w:cs="宋体"/>
                <w:b/>
                <w:bCs w:val="0"/>
                <w:sz w:val="21"/>
                <w:szCs w:val="21"/>
                <w:highlight w:val="none"/>
                <w:lang w:val="en-US" w:eastAsia="zh-CN"/>
              </w:rPr>
              <w:t>标的</w:t>
            </w:r>
            <w:r>
              <w:rPr>
                <w:rStyle w:val="18"/>
                <w:rFonts w:hint="eastAsia" w:ascii="宋体" w:hAnsi="宋体" w:eastAsia="宋体" w:cs="宋体"/>
                <w:b/>
                <w:bCs w:val="0"/>
                <w:sz w:val="21"/>
                <w:szCs w:val="21"/>
                <w:highlight w:val="none"/>
              </w:rPr>
              <w:t>名称</w:t>
            </w:r>
          </w:p>
        </w:tc>
        <w:tc>
          <w:tcPr>
            <w:tcW w:w="347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b/>
                <w:bCs w:val="0"/>
                <w:color w:val="000000"/>
                <w:sz w:val="21"/>
                <w:szCs w:val="21"/>
                <w:highlight w:val="none"/>
                <w:lang w:val="en-US" w:eastAsia="zh-CN"/>
              </w:rPr>
            </w:pPr>
            <w:r>
              <w:rPr>
                <w:rStyle w:val="17"/>
                <w:rFonts w:hint="eastAsia" w:ascii="宋体" w:hAnsi="宋体" w:eastAsia="宋体" w:cs="宋体"/>
                <w:b/>
                <w:bCs w:val="0"/>
                <w:sz w:val="21"/>
                <w:szCs w:val="21"/>
                <w:highlight w:val="none"/>
                <w:lang w:val="en-US" w:eastAsia="zh-CN"/>
              </w:rPr>
              <w:t>技术参数与性能指标</w:t>
            </w:r>
          </w:p>
        </w:tc>
      </w:tr>
      <w:tr>
        <w:tblPrEx>
          <w:tblCellMar>
            <w:top w:w="0" w:type="dxa"/>
            <w:left w:w="108" w:type="dxa"/>
            <w:bottom w:w="0" w:type="dxa"/>
            <w:right w:w="108" w:type="dxa"/>
          </w:tblCellMar>
        </w:tblPrEx>
        <w:trPr>
          <w:trHeight w:val="975" w:hRule="atLeast"/>
        </w:trPr>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粮食加工品</w:t>
            </w:r>
          </w:p>
        </w:tc>
        <w:tc>
          <w:tcPr>
            <w:tcW w:w="3478"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9"/>
              <w:numPr>
                <w:ilvl w:val="0"/>
                <w:numId w:val="18"/>
              </w:numPr>
              <w:jc w:val="left"/>
              <w:rPr>
                <w:rFonts w:hint="eastAsia" w:ascii="宋体" w:hAnsi="宋体" w:cs="宋体"/>
                <w:color w:val="auto"/>
                <w:sz w:val="21"/>
                <w:szCs w:val="21"/>
                <w:highlight w:val="none"/>
                <w:lang w:val="en-US" w:eastAsia="zh-CN"/>
              </w:rPr>
            </w:pPr>
            <w:r>
              <w:rPr>
                <w:rFonts w:hint="eastAsia" w:ascii="宋体" w:hAnsi="宋体" w:eastAsia="宋体" w:cs="宋体"/>
                <w:sz w:val="21"/>
                <w:szCs w:val="21"/>
                <w:highlight w:val="none"/>
              </w:rPr>
              <w:t>大米</w:t>
            </w:r>
            <w:r>
              <w:rPr>
                <w:rFonts w:hint="eastAsia" w:ascii="宋体" w:hAnsi="宋体" w:eastAsia="宋体" w:cs="宋体"/>
                <w:sz w:val="21"/>
                <w:szCs w:val="21"/>
                <w:highlight w:val="none"/>
                <w:lang w:eastAsia="zh-CN"/>
              </w:rPr>
              <w:t>：</w:t>
            </w:r>
          </w:p>
          <w:p>
            <w:pPr>
              <w:pStyle w:val="19"/>
              <w:numPr>
                <w:ilvl w:val="0"/>
                <w:numId w:val="0"/>
              </w:numPr>
              <w:jc w:val="left"/>
              <w:rPr>
                <w:rFonts w:hint="eastAsia" w:ascii="宋体" w:hAnsi="宋体" w:cs="宋体"/>
                <w:color w:val="auto"/>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color w:val="auto"/>
                <w:sz w:val="21"/>
                <w:szCs w:val="21"/>
                <w:highlight w:val="none"/>
                <w:lang w:val="en-US" w:eastAsia="zh-CN"/>
              </w:rPr>
              <w:t>质量标准：</w:t>
            </w:r>
            <w:r>
              <w:rPr>
                <w:rFonts w:hint="eastAsia" w:ascii="宋体" w:hAnsi="宋体" w:eastAsia="宋体" w:cs="宋体"/>
                <w:sz w:val="21"/>
                <w:szCs w:val="21"/>
                <w:highlight w:val="none"/>
              </w:rPr>
              <w:t>符合</w:t>
            </w:r>
            <w:r>
              <w:rPr>
                <w:rFonts w:hint="eastAsia" w:ascii="宋体" w:hAnsi="宋体" w:eastAsia="宋体" w:cs="宋体"/>
                <w:sz w:val="21"/>
                <w:szCs w:val="21"/>
                <w:highlight w:val="none"/>
                <w:lang w:eastAsia="zh-CN"/>
              </w:rPr>
              <w:t>GB 2715-2016《食品安全国家标准 粮食》、</w:t>
            </w:r>
            <w:r>
              <w:rPr>
                <w:rFonts w:hint="eastAsia" w:ascii="宋体" w:hAnsi="宋体" w:eastAsia="宋体" w:cs="宋体"/>
                <w:sz w:val="21"/>
                <w:szCs w:val="21"/>
                <w:highlight w:val="none"/>
              </w:rPr>
              <w:t>GB/T 1354-2018《大米》</w:t>
            </w:r>
            <w:r>
              <w:rPr>
                <w:rFonts w:hint="eastAsia" w:ascii="宋体" w:hAnsi="宋体" w:eastAsia="宋体" w:cs="宋体"/>
                <w:sz w:val="21"/>
                <w:szCs w:val="21"/>
                <w:highlight w:val="none"/>
                <w:lang w:eastAsia="zh-CN"/>
              </w:rPr>
              <w:t>、</w:t>
            </w:r>
            <w:r>
              <w:rPr>
                <w:rFonts w:hint="eastAsia" w:ascii="宋体" w:hAnsi="宋体" w:eastAsia="宋体" w:cs="宋体"/>
                <w:color w:val="000000" w:themeColor="text1"/>
                <w:sz w:val="21"/>
                <w:szCs w:val="21"/>
                <w:highlight w:val="none"/>
                <w14:textFill>
                  <w14:solidFill>
                    <w14:schemeClr w14:val="tx1"/>
                  </w14:solidFill>
                </w14:textFill>
              </w:rPr>
              <w:t>GB 7718-</w:t>
            </w:r>
            <w:r>
              <w:rPr>
                <w:rFonts w:hint="eastAsia" w:ascii="宋体" w:hAnsi="宋体" w:eastAsia="宋体" w:cs="宋体"/>
                <w:color w:val="000000" w:themeColor="text1"/>
                <w:sz w:val="21"/>
                <w:szCs w:val="21"/>
                <w:highlight w:val="none"/>
                <w:lang w:val="en-US" w:eastAsia="zh-CN"/>
                <w14:textFill>
                  <w14:solidFill>
                    <w14:schemeClr w14:val="tx1"/>
                  </w14:solidFill>
                </w14:textFill>
              </w:rPr>
              <w:t>2011</w:t>
            </w:r>
            <w:r>
              <w:rPr>
                <w:rFonts w:hint="eastAsia" w:ascii="宋体" w:hAnsi="宋体" w:eastAsia="宋体" w:cs="宋体"/>
                <w:color w:val="000000" w:themeColor="text1"/>
                <w:sz w:val="21"/>
                <w:szCs w:val="21"/>
                <w:highlight w:val="none"/>
                <w14:textFill>
                  <w14:solidFill>
                    <w14:schemeClr w14:val="tx1"/>
                  </w14:solidFill>
                </w14:textFill>
              </w:rPr>
              <w:t xml:space="preserve"> 《食品安全国家标准 预包装食品标签通则》</w:t>
            </w:r>
            <w:r>
              <w:rPr>
                <w:rFonts w:hint="eastAsia" w:ascii="宋体" w:hAnsi="宋体" w:eastAsia="宋体" w:cs="宋体"/>
                <w:sz w:val="21"/>
                <w:szCs w:val="21"/>
                <w:highlight w:val="none"/>
                <w:lang w:eastAsia="zh-CN"/>
              </w:rPr>
              <w:t>、</w:t>
            </w:r>
            <w:r>
              <w:rPr>
                <w:rFonts w:hint="eastAsia" w:ascii="宋体" w:hAnsi="宋体" w:eastAsia="宋体" w:cs="宋体"/>
                <w:color w:val="000000"/>
                <w:sz w:val="21"/>
                <w:szCs w:val="21"/>
                <w:highlight w:val="none"/>
              </w:rPr>
              <w:t>GB 2761-2017 《食品安全国家标准 食品中真菌毒素限量》</w:t>
            </w:r>
            <w:r>
              <w:rPr>
                <w:rFonts w:hint="eastAsia" w:ascii="宋体" w:hAnsi="宋体" w:eastAsia="宋体" w:cs="宋体"/>
                <w:sz w:val="21"/>
                <w:szCs w:val="21"/>
                <w:highlight w:val="none"/>
              </w:rPr>
              <w:t>、GB 2762-2022/XG1-2025</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《食品安全国家标准 食品中污染物限量（含第1号修改单）》</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p>
          <w:p>
            <w:pPr>
              <w:pStyle w:val="19"/>
              <w:numPr>
                <w:ilvl w:val="0"/>
                <w:numId w:val="0"/>
              </w:numPr>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质量要求：</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一级</w:t>
            </w:r>
            <w:r>
              <w:rPr>
                <w:rFonts w:hint="eastAsia" w:ascii="宋体" w:hAnsi="宋体" w:eastAsia="宋体" w:cs="宋体"/>
                <w:sz w:val="21"/>
                <w:szCs w:val="21"/>
                <w:highlight w:val="none"/>
              </w:rPr>
              <w:t>优质籼米或粳米（具体品种可根据食堂需求选定）；背沟无皮或有皮不成线，米胚和米面皮层去净的占90%以上；碎米总量：籼米≤15%（其中小碎米≤1%），粳米≤7.5%（其中小碎米≤0.5%）；不完整米粒：≤3%；杂质最大限量：≤0.25%；水分：籼米≤14.5%，粳米≤15.5%；黄米粒：≤1%。符合国家标准，非转基因食品，随货提供该批合格</w:t>
            </w:r>
            <w:r>
              <w:rPr>
                <w:rFonts w:hint="eastAsia" w:ascii="宋体" w:hAnsi="宋体" w:eastAsia="宋体" w:cs="宋体"/>
                <w:sz w:val="21"/>
                <w:szCs w:val="21"/>
                <w:highlight w:val="none"/>
                <w:lang w:val="en-US" w:eastAsia="zh-CN"/>
              </w:rPr>
              <w:t>证、</w:t>
            </w:r>
            <w:r>
              <w:rPr>
                <w:rFonts w:hint="eastAsia" w:ascii="宋体" w:hAnsi="宋体" w:eastAsia="宋体" w:cs="宋体"/>
                <w:sz w:val="21"/>
                <w:szCs w:val="21"/>
                <w:highlight w:val="none"/>
              </w:rPr>
              <w:t>质量检测报告。色泽白净，无异常色泽和气味，无霉变、生虫</w:t>
            </w:r>
            <w:r>
              <w:rPr>
                <w:rFonts w:hint="eastAsia" w:ascii="宋体" w:hAnsi="宋体" w:eastAsia="宋体" w:cs="宋体"/>
                <w:sz w:val="21"/>
                <w:szCs w:val="21"/>
                <w:highlight w:val="none"/>
                <w:lang w:eastAsia="zh-CN"/>
              </w:rPr>
              <w:t>。</w:t>
            </w:r>
          </w:p>
          <w:p>
            <w:pPr>
              <w:pStyle w:val="2"/>
              <w:numPr>
                <w:ilvl w:val="0"/>
                <w:numId w:val="0"/>
              </w:numP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w:t>
            </w:r>
            <w:r>
              <w:rPr>
                <w:rFonts w:hint="eastAsia" w:ascii="宋体" w:hAnsi="宋体" w:eastAsia="宋体" w:cs="宋体"/>
                <w:color w:val="auto"/>
                <w:sz w:val="21"/>
                <w:szCs w:val="21"/>
                <w:highlight w:val="none"/>
                <w:lang w:val="en-US" w:eastAsia="zh-CN"/>
              </w:rPr>
              <w:t>储存运输</w:t>
            </w:r>
            <w:r>
              <w:rPr>
                <w:rFonts w:hint="eastAsia" w:ascii="宋体" w:hAnsi="宋体" w:eastAsia="宋体" w:cs="宋体"/>
                <w:sz w:val="21"/>
                <w:szCs w:val="21"/>
                <w:highlight w:val="none"/>
              </w:rPr>
              <w:t>：包装洁净无破损，无污物污染，包装袋有注册商标、SC标识、检查合格证、生产日期、保质期等信息清楚。</w:t>
            </w:r>
          </w:p>
          <w:p>
            <w:pPr>
              <w:pStyle w:val="2"/>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（4）保质期：距生产日期不超过保质期的1/3。</w:t>
            </w:r>
          </w:p>
          <w:p>
            <w:pPr>
              <w:pStyle w:val="2"/>
              <w:numPr>
                <w:ilvl w:val="0"/>
                <w:numId w:val="0"/>
              </w:numP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具体规格，品质以采购人实际需求供应及配送。</w:t>
            </w:r>
            <w:r>
              <w:rPr>
                <w:rFonts w:hint="eastAsia" w:ascii="宋体" w:hAnsi="宋体" w:eastAsia="宋体" w:cs="宋体"/>
                <w:sz w:val="21"/>
                <w:szCs w:val="21"/>
                <w:highlight w:val="none"/>
              </w:rPr>
              <w:br w:type="textWrapping"/>
            </w:r>
          </w:p>
          <w:p>
            <w:pPr>
              <w:pStyle w:val="2"/>
              <w:numPr>
                <w:ilvl w:val="0"/>
                <w:numId w:val="0"/>
              </w:num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面粉</w:t>
            </w:r>
            <w:r>
              <w:rPr>
                <w:rFonts w:hint="eastAsia" w:ascii="宋体" w:hAnsi="宋体" w:eastAsia="宋体" w:cs="宋体"/>
                <w:sz w:val="21"/>
                <w:szCs w:val="21"/>
                <w:highlight w:val="none"/>
                <w:lang w:eastAsia="zh-CN"/>
              </w:rPr>
              <w:t>：</w:t>
            </w:r>
          </w:p>
          <w:p>
            <w:pPr>
              <w:pStyle w:val="19"/>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color w:val="auto"/>
                <w:sz w:val="21"/>
                <w:szCs w:val="21"/>
                <w:highlight w:val="none"/>
                <w:lang w:val="en-US" w:eastAsia="zh-CN"/>
              </w:rPr>
              <w:t>质量标准：</w:t>
            </w:r>
            <w:r>
              <w:rPr>
                <w:rFonts w:hint="eastAsia" w:ascii="宋体" w:hAnsi="宋体" w:eastAsia="宋体" w:cs="宋体"/>
                <w:sz w:val="21"/>
                <w:szCs w:val="21"/>
                <w:highlight w:val="none"/>
              </w:rPr>
              <w:t>符合</w:t>
            </w:r>
            <w:r>
              <w:rPr>
                <w:rFonts w:hint="eastAsia" w:ascii="宋体" w:hAnsi="宋体" w:eastAsia="宋体" w:cs="宋体"/>
                <w:sz w:val="21"/>
                <w:szCs w:val="21"/>
                <w:highlight w:val="none"/>
                <w:lang w:eastAsia="zh-CN"/>
              </w:rPr>
              <w:t>GB 2715-2016《食品安全国家标准 粮食》、</w:t>
            </w:r>
            <w:r>
              <w:rPr>
                <w:rFonts w:hint="eastAsia" w:ascii="宋体" w:hAnsi="宋体" w:eastAsia="宋体" w:cs="宋体"/>
                <w:sz w:val="21"/>
                <w:szCs w:val="21"/>
                <w:highlight w:val="none"/>
              </w:rPr>
              <w:t>GB/T 135</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-20</w:t>
            </w:r>
            <w:r>
              <w:rPr>
                <w:rFonts w:hint="eastAsia" w:ascii="宋体" w:hAnsi="宋体" w:eastAsia="宋体" w:cs="宋体"/>
                <w:sz w:val="21"/>
                <w:szCs w:val="21"/>
                <w:highlight w:val="none"/>
                <w:lang w:val="en-US" w:eastAsia="zh-CN"/>
              </w:rPr>
              <w:t>21</w:t>
            </w:r>
            <w:r>
              <w:rPr>
                <w:rFonts w:hint="eastAsia" w:ascii="宋体" w:hAnsi="宋体" w:eastAsia="宋体" w:cs="宋体"/>
                <w:sz w:val="21"/>
                <w:szCs w:val="21"/>
                <w:highlight w:val="none"/>
              </w:rPr>
              <w:t>《小麦粉》</w:t>
            </w:r>
            <w:r>
              <w:rPr>
                <w:rFonts w:hint="eastAsia" w:ascii="宋体" w:hAnsi="宋体" w:eastAsia="宋体" w:cs="宋体"/>
                <w:sz w:val="21"/>
                <w:szCs w:val="21"/>
                <w:highlight w:val="none"/>
                <w:lang w:eastAsia="zh-CN"/>
              </w:rPr>
              <w:t>、</w:t>
            </w:r>
            <w:r>
              <w:rPr>
                <w:rFonts w:hint="eastAsia" w:ascii="宋体" w:hAnsi="宋体" w:eastAsia="宋体" w:cs="宋体"/>
                <w:color w:val="000000" w:themeColor="text1"/>
                <w:sz w:val="21"/>
                <w:szCs w:val="21"/>
                <w:highlight w:val="none"/>
                <w14:textFill>
                  <w14:solidFill>
                    <w14:schemeClr w14:val="tx1"/>
                  </w14:solidFill>
                </w14:textFill>
              </w:rPr>
              <w:t>GB 7718-</w:t>
            </w:r>
            <w:r>
              <w:rPr>
                <w:rFonts w:hint="eastAsia" w:ascii="宋体" w:hAnsi="宋体" w:eastAsia="宋体" w:cs="宋体"/>
                <w:color w:val="000000" w:themeColor="text1"/>
                <w:sz w:val="21"/>
                <w:szCs w:val="21"/>
                <w:highlight w:val="none"/>
                <w:lang w:val="en-US" w:eastAsia="zh-CN"/>
                <w14:textFill>
                  <w14:solidFill>
                    <w14:schemeClr w14:val="tx1"/>
                  </w14:solidFill>
                </w14:textFill>
              </w:rPr>
              <w:t>2011</w:t>
            </w:r>
            <w:r>
              <w:rPr>
                <w:rFonts w:hint="eastAsia" w:ascii="宋体" w:hAnsi="宋体" w:eastAsia="宋体" w:cs="宋体"/>
                <w:color w:val="000000" w:themeColor="text1"/>
                <w:sz w:val="21"/>
                <w:szCs w:val="21"/>
                <w:highlight w:val="none"/>
                <w14:textFill>
                  <w14:solidFill>
                    <w14:schemeClr w14:val="tx1"/>
                  </w14:solidFill>
                </w14:textFill>
              </w:rPr>
              <w:t xml:space="preserve"> 《食品安全国家标准 预包装食品标签通则》</w:t>
            </w:r>
            <w:r>
              <w:rPr>
                <w:rFonts w:hint="eastAsia" w:ascii="宋体" w:hAnsi="宋体" w:eastAsia="宋体" w:cs="宋体"/>
                <w:sz w:val="21"/>
                <w:szCs w:val="21"/>
                <w:highlight w:val="none"/>
                <w:lang w:eastAsia="zh-CN"/>
              </w:rPr>
              <w:t>、</w:t>
            </w:r>
            <w:r>
              <w:rPr>
                <w:rFonts w:hint="eastAsia" w:ascii="宋体" w:hAnsi="宋体" w:eastAsia="宋体" w:cs="宋体"/>
                <w:color w:val="000000"/>
                <w:sz w:val="21"/>
                <w:szCs w:val="21"/>
                <w:highlight w:val="none"/>
              </w:rPr>
              <w:t>GB 2761-2017 《食品安全国家标准 食品中真菌毒素限量》</w:t>
            </w:r>
            <w:r>
              <w:rPr>
                <w:rFonts w:hint="eastAsia" w:ascii="宋体" w:hAnsi="宋体" w:eastAsia="宋体" w:cs="宋体"/>
                <w:sz w:val="21"/>
                <w:szCs w:val="21"/>
                <w:highlight w:val="none"/>
              </w:rPr>
              <w:t>、GB 2762-2022/XG1-2025</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《食品安全国家标准 食品中污染物限量（含第1号修改单）》</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p>
          <w:p>
            <w:pPr>
              <w:pStyle w:val="19"/>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质量要求：</w:t>
            </w:r>
            <w:r>
              <w:rPr>
                <w:rFonts w:hint="eastAsia" w:ascii="宋体" w:hAnsi="宋体" w:eastAsia="宋体" w:cs="宋体"/>
                <w:sz w:val="21"/>
                <w:szCs w:val="21"/>
                <w:highlight w:val="none"/>
              </w:rPr>
              <w:t>面粉灰分＜0.7%；粗细度：全部通过CB36号筛，留存在CB42号筛的不超过10%，面筋质＞30%，含砂量＜0.02%，磁性金属物＜0.003g∕kg，水分≤14%，脂肪酸值＜80。非转基因食品、符合国家标准，随货提供该批次合格证该批次质量检测报告。色泽和气味正常，无结块、霉变、生虫。</w:t>
            </w:r>
          </w:p>
          <w:p>
            <w:pPr>
              <w:pStyle w:val="2"/>
              <w:numPr>
                <w:ilvl w:val="0"/>
                <w:numId w:val="0"/>
              </w:numP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w:t>
            </w:r>
            <w:r>
              <w:rPr>
                <w:rFonts w:hint="eastAsia" w:ascii="宋体" w:hAnsi="宋体" w:eastAsia="宋体" w:cs="宋体"/>
                <w:color w:val="auto"/>
                <w:sz w:val="21"/>
                <w:szCs w:val="21"/>
                <w:highlight w:val="none"/>
                <w:lang w:val="en-US" w:eastAsia="zh-CN"/>
              </w:rPr>
              <w:t>储存运输</w:t>
            </w:r>
            <w:r>
              <w:rPr>
                <w:rFonts w:hint="eastAsia" w:ascii="宋体" w:hAnsi="宋体" w:eastAsia="宋体" w:cs="宋体"/>
                <w:sz w:val="21"/>
                <w:szCs w:val="21"/>
                <w:highlight w:val="none"/>
              </w:rPr>
              <w:t>：包装洁净无破损，无污物污染，包装袋有注册商标、SC标识、检查合格证、生产日期、保质期等信息清楚。</w:t>
            </w:r>
          </w:p>
          <w:p>
            <w:pPr>
              <w:pStyle w:val="2"/>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（4）保质期：距生产日期不超过保质期的1/3。</w:t>
            </w:r>
          </w:p>
          <w:p>
            <w:pPr>
              <w:pStyle w:val="2"/>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具体规格，品质以采购人实际需求供应及配送。</w:t>
            </w:r>
          </w:p>
        </w:tc>
      </w:tr>
      <w:tr>
        <w:tblPrEx>
          <w:tblCellMar>
            <w:top w:w="0" w:type="dxa"/>
            <w:left w:w="108" w:type="dxa"/>
            <w:bottom w:w="0" w:type="dxa"/>
            <w:right w:w="108" w:type="dxa"/>
          </w:tblCellMar>
        </w:tblPrEx>
        <w:trPr>
          <w:trHeight w:val="544" w:hRule="atLeast"/>
        </w:trPr>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w:t>
            </w:r>
          </w:p>
        </w:tc>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sz w:val="21"/>
                <w:szCs w:val="21"/>
                <w:highlight w:val="none"/>
              </w:rPr>
              <w:t>食用油、油脂及其制品</w:t>
            </w:r>
          </w:p>
        </w:tc>
        <w:tc>
          <w:tcPr>
            <w:tcW w:w="3478"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9"/>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color w:val="auto"/>
                <w:sz w:val="21"/>
                <w:szCs w:val="21"/>
                <w:highlight w:val="none"/>
                <w:lang w:val="en-US" w:eastAsia="zh-CN"/>
              </w:rPr>
              <w:t>质量标准：</w:t>
            </w:r>
            <w:r>
              <w:rPr>
                <w:rFonts w:hint="eastAsia" w:ascii="宋体" w:hAnsi="宋体" w:eastAsia="宋体" w:cs="宋体"/>
                <w:sz w:val="21"/>
                <w:szCs w:val="21"/>
                <w:highlight w:val="none"/>
              </w:rPr>
              <w:t>符合</w:t>
            </w:r>
            <w:r>
              <w:rPr>
                <w:rFonts w:hint="eastAsia" w:ascii="宋体" w:hAnsi="宋体" w:eastAsia="宋体" w:cs="宋体"/>
                <w:sz w:val="21"/>
                <w:szCs w:val="21"/>
                <w:highlight w:val="none"/>
                <w:lang w:eastAsia="zh-CN"/>
              </w:rPr>
              <w:t>GB 271</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eastAsia="zh-CN"/>
              </w:rPr>
              <w:t>-201</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《食品安全国家标准</w:t>
            </w:r>
            <w:r>
              <w:rPr>
                <w:rFonts w:hint="eastAsia" w:ascii="宋体" w:hAnsi="宋体" w:eastAsia="宋体" w:cs="宋体"/>
                <w:sz w:val="21"/>
                <w:szCs w:val="21"/>
                <w:highlight w:val="none"/>
                <w:lang w:val="en-US" w:eastAsia="zh-CN"/>
              </w:rPr>
              <w:t xml:space="preserve"> 植物油</w:t>
            </w:r>
            <w:r>
              <w:rPr>
                <w:rFonts w:hint="eastAsia" w:ascii="宋体" w:hAnsi="宋体" w:eastAsia="宋体" w:cs="宋体"/>
                <w:sz w:val="21"/>
                <w:szCs w:val="21"/>
                <w:highlight w:val="none"/>
                <w:lang w:eastAsia="zh-CN"/>
              </w:rPr>
              <w:t>》、</w:t>
            </w:r>
            <w:r>
              <w:rPr>
                <w:rFonts w:hint="eastAsia" w:ascii="宋体" w:hAnsi="宋体" w:eastAsia="宋体" w:cs="宋体"/>
                <w:color w:val="000000" w:themeColor="text1"/>
                <w:sz w:val="21"/>
                <w:szCs w:val="21"/>
                <w:highlight w:val="none"/>
                <w14:textFill>
                  <w14:solidFill>
                    <w14:schemeClr w14:val="tx1"/>
                  </w14:solidFill>
                </w14:textFill>
              </w:rPr>
              <w:t>GB 7718-</w:t>
            </w:r>
            <w:r>
              <w:rPr>
                <w:rFonts w:hint="eastAsia" w:ascii="宋体" w:hAnsi="宋体" w:eastAsia="宋体" w:cs="宋体"/>
                <w:color w:val="000000" w:themeColor="text1"/>
                <w:sz w:val="21"/>
                <w:szCs w:val="21"/>
                <w:highlight w:val="none"/>
                <w:lang w:val="en-US" w:eastAsia="zh-CN"/>
                <w14:textFill>
                  <w14:solidFill>
                    <w14:schemeClr w14:val="tx1"/>
                  </w14:solidFill>
                </w14:textFill>
              </w:rPr>
              <w:t>2011</w:t>
            </w:r>
            <w:r>
              <w:rPr>
                <w:rFonts w:hint="eastAsia" w:ascii="宋体" w:hAnsi="宋体" w:eastAsia="宋体" w:cs="宋体"/>
                <w:color w:val="000000" w:themeColor="text1"/>
                <w:sz w:val="21"/>
                <w:szCs w:val="21"/>
                <w:highlight w:val="none"/>
                <w14:textFill>
                  <w14:solidFill>
                    <w14:schemeClr w14:val="tx1"/>
                  </w14:solidFill>
                </w14:textFill>
              </w:rPr>
              <w:t>《 食品安全国家标准 预包装食品标签通则》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sz w:val="21"/>
                <w:szCs w:val="21"/>
                <w:highlight w:val="none"/>
              </w:rPr>
              <w:t xml:space="preserve">GB/T </w:t>
            </w:r>
            <w:r>
              <w:rPr>
                <w:rFonts w:hint="eastAsia" w:ascii="宋体" w:hAnsi="宋体" w:eastAsia="宋体" w:cs="宋体"/>
                <w:sz w:val="21"/>
                <w:szCs w:val="21"/>
                <w:highlight w:val="none"/>
                <w:lang w:val="en-US" w:eastAsia="zh-CN"/>
              </w:rPr>
              <w:t xml:space="preserve">1536-2021 </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菜籽油</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GB/T </w:t>
            </w:r>
            <w:r>
              <w:rPr>
                <w:rFonts w:hint="eastAsia" w:ascii="宋体" w:hAnsi="宋体" w:eastAsia="宋体" w:cs="宋体"/>
                <w:sz w:val="21"/>
                <w:szCs w:val="21"/>
                <w:highlight w:val="none"/>
                <w:lang w:val="en-US" w:eastAsia="zh-CN"/>
              </w:rPr>
              <w:t xml:space="preserve">17374-2024 </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食用植物油销售包装</w:t>
            </w:r>
            <w:r>
              <w:rPr>
                <w:rFonts w:hint="eastAsia" w:ascii="宋体" w:hAnsi="宋体" w:eastAsia="宋体" w:cs="宋体"/>
                <w:sz w:val="21"/>
                <w:szCs w:val="21"/>
                <w:highlight w:val="none"/>
              </w:rPr>
              <w:t>》</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p>
          <w:p>
            <w:pPr>
              <w:pStyle w:val="2"/>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质量要求：</w:t>
            </w:r>
            <w:r>
              <w:rPr>
                <w:rFonts w:hint="eastAsia" w:ascii="宋体" w:hAnsi="宋体" w:eastAsia="宋体" w:cs="宋体"/>
                <w:sz w:val="21"/>
                <w:szCs w:val="21"/>
                <w:highlight w:val="none"/>
              </w:rPr>
              <w:t>一次性桶装，精炼，物理压榨，非转基因，</w:t>
            </w:r>
            <w:r>
              <w:rPr>
                <w:rFonts w:hint="eastAsia" w:ascii="宋体" w:hAnsi="宋体" w:eastAsia="宋体" w:cs="宋体"/>
                <w:sz w:val="21"/>
                <w:szCs w:val="21"/>
                <w:highlight w:val="none"/>
                <w:lang w:val="en-US" w:eastAsia="zh-CN"/>
              </w:rPr>
              <w:t>菜籽油色泽鲜亮，清澈透明、无杂质、无沉淀物，具</w:t>
            </w:r>
            <w:r>
              <w:rPr>
                <w:rFonts w:hint="eastAsia" w:ascii="宋体" w:hAnsi="宋体" w:eastAsia="宋体" w:cs="宋体"/>
                <w:sz w:val="21"/>
                <w:szCs w:val="21"/>
                <w:highlight w:val="none"/>
              </w:rPr>
              <w:t>有菜籽油固有的</w:t>
            </w:r>
            <w:r>
              <w:rPr>
                <w:rFonts w:hint="eastAsia" w:ascii="宋体" w:hAnsi="宋体" w:eastAsia="宋体" w:cs="宋体"/>
                <w:sz w:val="21"/>
                <w:szCs w:val="21"/>
                <w:highlight w:val="none"/>
                <w:lang w:val="en-US" w:eastAsia="zh-CN"/>
              </w:rPr>
              <w:t>气味和香味</w:t>
            </w:r>
            <w:r>
              <w:rPr>
                <w:rFonts w:hint="eastAsia" w:ascii="宋体" w:hAnsi="宋体" w:eastAsia="宋体" w:cs="宋体"/>
                <w:sz w:val="21"/>
                <w:szCs w:val="21"/>
                <w:highlight w:val="none"/>
              </w:rPr>
              <w:t>，无异味</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非转基因食品、符合国家标准，随货提供该批次合格证该批次质量检测报告。</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w:t>
            </w:r>
            <w:r>
              <w:rPr>
                <w:rFonts w:hint="eastAsia" w:ascii="宋体" w:hAnsi="宋体" w:eastAsia="宋体" w:cs="宋体"/>
                <w:color w:val="auto"/>
                <w:sz w:val="21"/>
                <w:szCs w:val="21"/>
                <w:highlight w:val="none"/>
                <w:lang w:val="en-US" w:eastAsia="zh-CN"/>
              </w:rPr>
              <w:t>储存运输</w:t>
            </w:r>
            <w:r>
              <w:rPr>
                <w:rFonts w:hint="eastAsia" w:ascii="宋体" w:hAnsi="宋体" w:eastAsia="宋体" w:cs="宋体"/>
                <w:sz w:val="21"/>
                <w:szCs w:val="21"/>
                <w:highlight w:val="none"/>
              </w:rPr>
              <w:t>：桶装，包装洁净无破损，无污物污染</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生产厂家、日期、SC标识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保质</w:t>
            </w:r>
            <w:r>
              <w:rPr>
                <w:rFonts w:hint="eastAsia" w:ascii="宋体" w:hAnsi="宋体" w:eastAsia="宋体" w:cs="宋体"/>
                <w:sz w:val="21"/>
                <w:szCs w:val="21"/>
                <w:highlight w:val="none"/>
                <w:lang w:val="en-US" w:eastAsia="zh-CN"/>
              </w:rPr>
              <w:t>期</w:t>
            </w:r>
            <w:r>
              <w:rPr>
                <w:rFonts w:hint="eastAsia" w:ascii="宋体" w:hAnsi="宋体" w:eastAsia="宋体" w:cs="宋体"/>
                <w:sz w:val="21"/>
                <w:szCs w:val="21"/>
                <w:highlight w:val="none"/>
              </w:rPr>
              <w:t>等信息清楚。</w:t>
            </w:r>
            <w:r>
              <w:rPr>
                <w:rFonts w:hint="eastAsia" w:ascii="宋体" w:hAnsi="宋体" w:eastAsia="宋体" w:cs="宋体"/>
                <w:sz w:val="21"/>
                <w:szCs w:val="21"/>
                <w:highlight w:val="none"/>
              </w:rPr>
              <w:br w:type="textWrapping"/>
            </w:r>
            <w:r>
              <w:rPr>
                <w:rFonts w:hint="eastAsia" w:ascii="宋体" w:hAnsi="宋体" w:eastAsia="宋体" w:cs="宋体"/>
                <w:color w:val="auto"/>
                <w:sz w:val="21"/>
                <w:szCs w:val="21"/>
                <w:highlight w:val="none"/>
                <w:lang w:val="en-US" w:eastAsia="zh-CN"/>
              </w:rPr>
              <w:t>（4）保质期：距生产日期不超过保质期的1/3。</w:t>
            </w:r>
          </w:p>
          <w:p>
            <w:pPr>
              <w:pStyle w:val="2"/>
              <w:numPr>
                <w:ilvl w:val="0"/>
                <w:numId w:val="0"/>
              </w:numPr>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sz w:val="21"/>
                <w:szCs w:val="21"/>
                <w:highlight w:val="none"/>
              </w:rPr>
              <w:t>具体规格，品质以采购人实际需求供应及配送。</w:t>
            </w:r>
          </w:p>
        </w:tc>
      </w:tr>
    </w:tbl>
    <w:p>
      <w:pPr>
        <w:rPr>
          <w:rFonts w:hint="eastAsia" w:ascii="宋体" w:hAnsi="宋体" w:eastAsia="宋体" w:cs="宋体"/>
          <w:sz w:val="21"/>
          <w:szCs w:val="21"/>
          <w:highlight w:val="none"/>
          <w:lang w:eastAsia="zh-CN"/>
        </w:rPr>
      </w:pPr>
    </w:p>
    <w:p>
      <w:pPr>
        <w:rPr>
          <w:rFonts w:ascii="宋体" w:hAnsi="宋体" w:cs="宋体"/>
          <w:color w:val="000000"/>
          <w:sz w:val="24"/>
          <w:szCs w:val="24"/>
          <w:highlight w:val="none"/>
        </w:rPr>
      </w:pPr>
      <w:r>
        <w:rPr>
          <w:rFonts w:hint="eastAsia" w:ascii="宋体" w:hAnsi="宋体" w:cs="宋体"/>
          <w:color w:val="000000"/>
          <w:sz w:val="24"/>
          <w:szCs w:val="24"/>
          <w:highlight w:val="none"/>
        </w:rPr>
        <w:t>2.人员配置：供应方须就该项目配置固定的业务联络人和配送人员，配送人员须持有有效的健康证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并提供近3年内无吸毒史的承诺书</w:t>
      </w:r>
      <w:r>
        <w:rPr>
          <w:rFonts w:hint="eastAsia" w:ascii="宋体" w:hAnsi="宋体" w:cs="宋体"/>
          <w:color w:val="000000"/>
          <w:sz w:val="24"/>
          <w:szCs w:val="24"/>
          <w:highlight w:val="none"/>
        </w:rPr>
        <w:t>。</w:t>
      </w:r>
    </w:p>
    <w:p>
      <w:pPr>
        <w:rPr>
          <w:rFonts w:ascii="宋体" w:hAnsi="宋体" w:cs="宋体"/>
          <w:color w:val="000000"/>
          <w:sz w:val="24"/>
          <w:szCs w:val="24"/>
          <w:highlight w:val="none"/>
        </w:rPr>
      </w:pPr>
      <w:r>
        <w:rPr>
          <w:rFonts w:hint="eastAsia" w:ascii="宋体" w:hAnsi="宋体" w:cs="宋体"/>
          <w:color w:val="000000"/>
          <w:sz w:val="24"/>
          <w:szCs w:val="24"/>
          <w:highlight w:val="none"/>
        </w:rPr>
        <w:t>3.设施设备配置：食品专用冷藏配送车辆1辆，封闭式食品配送车辆2辆。</w:t>
      </w:r>
    </w:p>
    <w:p>
      <w:pPr>
        <w:rPr>
          <w:rFonts w:ascii="宋体" w:hAnsi="宋体" w:cs="宋体"/>
          <w:color w:val="000000"/>
          <w:sz w:val="24"/>
          <w:szCs w:val="24"/>
          <w:highlight w:val="none"/>
        </w:rPr>
      </w:pPr>
      <w:r>
        <w:rPr>
          <w:rFonts w:hint="eastAsia" w:ascii="宋体" w:hAnsi="宋体" w:cs="宋体"/>
          <w:color w:val="000000"/>
          <w:sz w:val="24"/>
          <w:szCs w:val="24"/>
          <w:highlight w:val="none"/>
        </w:rPr>
        <w:t>4.其他要求（包括采购标的需执行的国家相关标准、行业标准、地方标准或者其他标准、规范等）：</w:t>
      </w:r>
    </w:p>
    <w:p>
      <w:pPr>
        <w:rPr>
          <w:rFonts w:ascii="宋体" w:hAnsi="宋体" w:cs="宋体"/>
          <w:color w:val="000000"/>
          <w:sz w:val="24"/>
          <w:szCs w:val="24"/>
          <w:highlight w:val="none"/>
        </w:rPr>
      </w:pP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4</w:t>
      </w:r>
      <w:r>
        <w:rPr>
          <w:rFonts w:hint="eastAsia" w:ascii="宋体" w:hAnsi="宋体" w:cs="宋体"/>
          <w:color w:val="000000"/>
          <w:sz w:val="24"/>
          <w:szCs w:val="24"/>
          <w:highlight w:val="none"/>
        </w:rPr>
        <w:t>.1.供货行为与供货内容应符合《中华人民共和国食品安全法》</w:t>
      </w:r>
      <w:r>
        <w:rPr>
          <w:rFonts w:hint="eastAsia" w:ascii="宋体" w:hAnsi="宋体" w:cs="宋体"/>
          <w:color w:val="000000"/>
          <w:sz w:val="24"/>
          <w:szCs w:val="24"/>
          <w:highlight w:val="none"/>
          <w:lang w:val="en-US" w:eastAsia="zh-CN"/>
        </w:rPr>
        <w:t>及实施条例</w:t>
      </w:r>
      <w:r>
        <w:rPr>
          <w:rFonts w:hint="eastAsia" w:ascii="宋体" w:hAnsi="宋体" w:cs="宋体"/>
          <w:color w:val="000000"/>
          <w:sz w:val="24"/>
          <w:szCs w:val="24"/>
          <w:highlight w:val="none"/>
        </w:rPr>
        <w:t>。</w:t>
      </w:r>
    </w:p>
    <w:p>
      <w:pPr>
        <w:rPr>
          <w:rFonts w:ascii="宋体" w:hAnsi="宋体" w:cs="宋体"/>
          <w:color w:val="000000"/>
          <w:sz w:val="24"/>
          <w:szCs w:val="24"/>
          <w:highlight w:val="none"/>
        </w:rPr>
      </w:pPr>
      <w:r>
        <w:rPr>
          <w:rFonts w:hint="eastAsia" w:ascii="宋体" w:hAnsi="宋体" w:cs="宋体"/>
          <w:bCs/>
          <w:sz w:val="24"/>
          <w:szCs w:val="24"/>
          <w:highlight w:val="none"/>
        </w:rPr>
        <w:t>★</w:t>
      </w:r>
      <w:r>
        <w:rPr>
          <w:rFonts w:hint="eastAsia" w:ascii="宋体" w:hAnsi="宋体" w:cs="宋体"/>
          <w:color w:val="000000"/>
          <w:sz w:val="24"/>
          <w:szCs w:val="24"/>
          <w:highlight w:val="none"/>
        </w:rPr>
        <w:t>4.2.所供粮食加工品和食用油、油脂及其制品须为非转基因食品，包含但不限于符合以下国家现行食品安全标准: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4.2.1</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植物油应符合GB2716-2018《食品安全国家标准 植物油》相关规定。</w:t>
      </w:r>
    </w:p>
    <w:p>
      <w:pPr>
        <w:rPr>
          <w:rFonts w:hint="eastAsia" w:ascii="宋体" w:hAnsi="宋体" w:cs="宋体"/>
          <w:color w:val="000000"/>
          <w:sz w:val="24"/>
          <w:szCs w:val="24"/>
          <w:highlight w:val="none"/>
        </w:rPr>
      </w:pPr>
      <w:r>
        <w:rPr>
          <w:rFonts w:hint="eastAsia" w:ascii="宋体" w:hAnsi="宋体" w:cs="宋体"/>
          <w:color w:val="000000"/>
          <w:sz w:val="24"/>
          <w:szCs w:val="24"/>
          <w:highlight w:val="none"/>
        </w:rPr>
        <w:t>4.2.2.食品中污染物限量应符合GB 2762-2022/XG1-2025《 食品安全国家标准 食品中污染物限量（含第1号修改单）》相关规定。</w:t>
      </w:r>
    </w:p>
    <w:p>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sz w:val="24"/>
          <w:szCs w:val="24"/>
          <w:highlight w:val="none"/>
        </w:rPr>
        <w:t>4.2.3.</w:t>
      </w:r>
      <w:r>
        <w:rPr>
          <w:rFonts w:hint="eastAsia" w:ascii="宋体" w:hAnsi="宋体" w:cs="宋体"/>
          <w:color w:val="000000" w:themeColor="text1"/>
          <w:sz w:val="24"/>
          <w:szCs w:val="24"/>
          <w:highlight w:val="none"/>
          <w:lang w:eastAsia="zh-CN"/>
          <w14:textFill>
            <w14:solidFill>
              <w14:schemeClr w14:val="tx1"/>
            </w14:solidFill>
          </w14:textFill>
        </w:rPr>
        <w:t>植物性食品</w:t>
      </w:r>
      <w:r>
        <w:rPr>
          <w:rFonts w:hint="eastAsia" w:ascii="宋体" w:hAnsi="宋体" w:cs="宋体"/>
          <w:color w:val="000000" w:themeColor="text1"/>
          <w:sz w:val="24"/>
          <w:szCs w:val="24"/>
          <w:highlight w:val="none"/>
          <w14:textFill>
            <w14:solidFill>
              <w14:schemeClr w14:val="tx1"/>
            </w14:solidFill>
          </w14:textFill>
        </w:rPr>
        <w:t>最大残留限</w:t>
      </w:r>
      <w:r>
        <w:rPr>
          <w:rFonts w:hint="eastAsia" w:ascii="宋体" w:hAnsi="宋体" w:cs="宋体"/>
          <w:color w:val="000000" w:themeColor="text1"/>
          <w:sz w:val="24"/>
          <w:szCs w:val="24"/>
          <w:highlight w:val="none"/>
          <w:lang w:val="en-US" w:eastAsia="zh-CN"/>
          <w14:textFill>
            <w14:solidFill>
              <w14:schemeClr w14:val="tx1"/>
            </w14:solidFill>
          </w14:textFill>
        </w:rPr>
        <w:t>量</w:t>
      </w:r>
      <w:r>
        <w:rPr>
          <w:rFonts w:hint="eastAsia" w:ascii="宋体" w:hAnsi="宋体" w:cs="宋体"/>
          <w:color w:val="000000" w:themeColor="text1"/>
          <w:sz w:val="24"/>
          <w:szCs w:val="24"/>
          <w:highlight w:val="none"/>
          <w14:textFill>
            <w14:solidFill>
              <w14:schemeClr w14:val="tx1"/>
            </w14:solidFill>
          </w14:textFill>
        </w:rPr>
        <w:t>应符合GB 2763-20</w:t>
      </w:r>
      <w:r>
        <w:rPr>
          <w:rFonts w:hint="eastAsia" w:ascii="宋体" w:hAnsi="宋体" w:cs="宋体"/>
          <w:color w:val="000000" w:themeColor="text1"/>
          <w:sz w:val="24"/>
          <w:szCs w:val="24"/>
          <w:highlight w:val="none"/>
          <w:lang w:val="en-US" w:eastAsia="zh-CN"/>
          <w14:textFill>
            <w14:solidFill>
              <w14:schemeClr w14:val="tx1"/>
            </w14:solidFill>
          </w14:textFill>
        </w:rPr>
        <w:t>21</w:t>
      </w:r>
      <w:r>
        <w:rPr>
          <w:rFonts w:hint="eastAsia" w:ascii="宋体" w:hAnsi="宋体" w:cs="宋体"/>
          <w:color w:val="000000" w:themeColor="text1"/>
          <w:sz w:val="24"/>
          <w:szCs w:val="24"/>
          <w:highlight w:val="none"/>
          <w14:textFill>
            <w14:solidFill>
              <w14:schemeClr w14:val="tx1"/>
            </w14:solidFill>
          </w14:textFill>
        </w:rPr>
        <w:t xml:space="preserve"> 《食品安全国家标准 食品中农药最大残留限量》相关规定。</w:t>
      </w:r>
    </w:p>
    <w:p>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4.2.4.预包装食品应符合GB 7718-</w:t>
      </w:r>
      <w:r>
        <w:rPr>
          <w:rFonts w:hint="eastAsia" w:ascii="宋体" w:hAnsi="宋体" w:cs="宋体"/>
          <w:color w:val="000000" w:themeColor="text1"/>
          <w:sz w:val="24"/>
          <w:szCs w:val="24"/>
          <w:highlight w:val="none"/>
          <w:lang w:val="en-US" w:eastAsia="zh-CN"/>
          <w14:textFill>
            <w14:solidFill>
              <w14:schemeClr w14:val="tx1"/>
            </w14:solidFill>
          </w14:textFill>
        </w:rPr>
        <w:t>2011</w:t>
      </w:r>
      <w:r>
        <w:rPr>
          <w:rFonts w:hint="eastAsia" w:ascii="宋体" w:hAnsi="宋体" w:cs="宋体"/>
          <w:color w:val="000000" w:themeColor="text1"/>
          <w:sz w:val="24"/>
          <w:szCs w:val="24"/>
          <w:highlight w:val="none"/>
          <w14:textFill>
            <w14:solidFill>
              <w14:schemeClr w14:val="tx1"/>
            </w14:solidFill>
          </w14:textFill>
        </w:rPr>
        <w:t xml:space="preserve"> 《食品安全国家标准 预包装食品标签通则》相关规定。</w:t>
      </w:r>
    </w:p>
    <w:p>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4.2.5.动物油脂符合食品中兽药最大残留限量应符合GB 31650-</w:t>
      </w:r>
      <w:r>
        <w:rPr>
          <w:rFonts w:hint="eastAsia" w:ascii="宋体" w:hAnsi="宋体" w:cs="宋体"/>
          <w:color w:val="000000" w:themeColor="text1"/>
          <w:sz w:val="24"/>
          <w:szCs w:val="24"/>
          <w:highlight w:val="none"/>
          <w:lang w:val="en-US" w:eastAsia="zh-CN"/>
          <w14:textFill>
            <w14:solidFill>
              <w14:schemeClr w14:val="tx1"/>
            </w14:solidFill>
          </w14:textFill>
        </w:rPr>
        <w:t>2022</w:t>
      </w:r>
      <w:r>
        <w:rPr>
          <w:rFonts w:hint="eastAsia" w:ascii="宋体" w:hAnsi="宋体" w:cs="宋体"/>
          <w:color w:val="000000" w:themeColor="text1"/>
          <w:sz w:val="24"/>
          <w:szCs w:val="24"/>
          <w:highlight w:val="none"/>
          <w14:textFill>
            <w14:solidFill>
              <w14:schemeClr w14:val="tx1"/>
            </w14:solidFill>
          </w14:textFill>
        </w:rPr>
        <w:t xml:space="preserve"> 《食品安全国家标准 食品中兽药最大残留限量》。</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4.2.6.以上法规标准如有变化时，按最新标准执行。</w:t>
      </w:r>
    </w:p>
    <w:p>
      <w:pPr>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5.日常食材配送的具体品种和数量，均以采购人下达的订单执行。</w:t>
      </w:r>
    </w:p>
    <w:p>
      <w:pP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bCs/>
          <w:sz w:val="24"/>
          <w:szCs w:val="24"/>
          <w:highlight w:val="none"/>
        </w:rPr>
        <w:t>★</w:t>
      </w:r>
      <w:r>
        <w:rPr>
          <w:rFonts w:hint="eastAsia" w:ascii="宋体" w:hAnsi="宋体" w:cs="宋体"/>
          <w:color w:val="000000" w:themeColor="text1"/>
          <w:sz w:val="24"/>
          <w:szCs w:val="24"/>
          <w:highlight w:val="none"/>
          <w:lang w:val="en-US" w:eastAsia="zh-CN"/>
          <w14:textFill>
            <w14:solidFill>
              <w14:schemeClr w14:val="tx1"/>
            </w14:solidFill>
          </w14:textFill>
        </w:rPr>
        <w:t>6.定价方式：</w:t>
      </w:r>
    </w:p>
    <w:p>
      <w:pP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6.1.</w:t>
      </w:r>
      <w:r>
        <w:rPr>
          <w:rFonts w:hint="eastAsia" w:ascii="宋体" w:hAnsi="宋体" w:cs="宋体"/>
          <w:color w:val="000000" w:themeColor="text1"/>
          <w:sz w:val="24"/>
          <w:szCs w:val="24"/>
          <w:highlight w:val="none"/>
          <w14:textFill>
            <w14:solidFill>
              <w14:schemeClr w14:val="tx1"/>
            </w14:solidFill>
          </w14:textFill>
        </w:rPr>
        <w:t>本项目</w:t>
      </w:r>
      <w:r>
        <w:rPr>
          <w:rFonts w:hint="eastAsia" w:ascii="宋体" w:hAnsi="宋体" w:cs="宋体"/>
          <w:color w:val="000000" w:themeColor="text1"/>
          <w:sz w:val="24"/>
          <w:szCs w:val="24"/>
          <w:highlight w:val="none"/>
          <w:lang w:val="en-US" w:eastAsia="zh-CN"/>
          <w14:textFill>
            <w14:solidFill>
              <w14:schemeClr w14:val="tx1"/>
            </w14:solidFill>
          </w14:textFill>
        </w:rPr>
        <w:t>供应商统一以结算率</w:t>
      </w:r>
      <w:r>
        <w:rPr>
          <w:rFonts w:hint="eastAsia" w:ascii="宋体" w:hAnsi="宋体" w:cs="宋体"/>
          <w:color w:val="000000" w:themeColor="text1"/>
          <w:sz w:val="24"/>
          <w:szCs w:val="24"/>
          <w:highlight w:val="none"/>
          <w14:textFill>
            <w14:solidFill>
              <w14:schemeClr w14:val="tx1"/>
            </w14:solidFill>
          </w14:textFill>
        </w:rPr>
        <w:t>报价</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以百分比表示，</w:t>
      </w:r>
      <w:r>
        <w:rPr>
          <w:rFonts w:hint="eastAsia" w:ascii="宋体" w:hAnsi="宋体" w:cs="宋体"/>
          <w:color w:val="000000" w:themeColor="text1"/>
          <w:sz w:val="24"/>
          <w:szCs w:val="24"/>
          <w:highlight w:val="none"/>
          <w14:textFill>
            <w14:solidFill>
              <w14:schemeClr w14:val="tx1"/>
            </w14:solidFill>
          </w14:textFill>
        </w:rPr>
        <w:t>百分比精确到小数点后两位)</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结算</w:t>
      </w:r>
      <w:r>
        <w:rPr>
          <w:rFonts w:hint="eastAsia" w:ascii="宋体" w:hAnsi="宋体" w:cs="宋体"/>
          <w:color w:val="000000" w:themeColor="text1"/>
          <w:sz w:val="24"/>
          <w:szCs w:val="24"/>
          <w:highlight w:val="none"/>
          <w14:textFill>
            <w14:solidFill>
              <w14:schemeClr w14:val="tx1"/>
            </w14:solidFill>
          </w14:textFill>
        </w:rPr>
        <w:t>率存在负数、超过百分之百或有多个报价（</w:t>
      </w:r>
      <w:r>
        <w:rPr>
          <w:rFonts w:hint="eastAsia" w:ascii="宋体" w:hAnsi="宋体" w:cs="宋体"/>
          <w:color w:val="000000" w:themeColor="text1"/>
          <w:sz w:val="24"/>
          <w:szCs w:val="24"/>
          <w:highlight w:val="none"/>
          <w:lang w:val="en-US" w:eastAsia="zh-CN"/>
          <w14:textFill>
            <w14:solidFill>
              <w14:schemeClr w14:val="tx1"/>
            </w14:solidFill>
          </w14:textFill>
        </w:rPr>
        <w:t>结算</w:t>
      </w:r>
      <w:r>
        <w:rPr>
          <w:rFonts w:hint="eastAsia" w:ascii="宋体" w:hAnsi="宋体" w:cs="宋体"/>
          <w:color w:val="000000" w:themeColor="text1"/>
          <w:sz w:val="24"/>
          <w:szCs w:val="24"/>
          <w:highlight w:val="none"/>
          <w14:textFill>
            <w14:solidFill>
              <w14:schemeClr w14:val="tx1"/>
            </w14:solidFill>
          </w14:textFill>
        </w:rPr>
        <w:t>率）的情形，投标文件按无效处理。</w:t>
      </w:r>
      <w:r>
        <w:rPr>
          <w:rFonts w:hint="eastAsia" w:ascii="宋体" w:hAnsi="宋体" w:cs="宋体"/>
          <w:color w:val="000000" w:themeColor="text1"/>
          <w:sz w:val="24"/>
          <w:szCs w:val="24"/>
          <w:highlight w:val="none"/>
          <w:lang w:val="en-US" w:eastAsia="zh-CN"/>
          <w14:textFill>
            <w14:solidFill>
              <w14:schemeClr w14:val="tx1"/>
            </w14:solidFill>
          </w14:textFill>
        </w:rPr>
        <w:t>供应商的报价是响应本项目要求的全部工作内容的价格体现，包括供应商完成本项目所需的人工劳务、货物成本、包装、运输、装卸、保险以及</w:t>
      </w:r>
      <w:r>
        <w:rPr>
          <w:rFonts w:hint="eastAsia" w:ascii="宋体" w:hAnsi="宋体" w:cs="宋体"/>
          <w:color w:val="000000" w:themeColor="text1"/>
          <w:sz w:val="24"/>
          <w:szCs w:val="24"/>
          <w:highlight w:val="none"/>
          <w14:textFill>
            <w14:solidFill>
              <w14:schemeClr w14:val="tx1"/>
            </w14:solidFill>
          </w14:textFill>
        </w:rPr>
        <w:t>合同实施过程可预见及不可预见费用等</w:t>
      </w:r>
      <w:r>
        <w:rPr>
          <w:rFonts w:hint="eastAsia" w:ascii="宋体" w:hAnsi="宋体" w:cs="宋体"/>
          <w:color w:val="000000" w:themeColor="text1"/>
          <w:sz w:val="24"/>
          <w:szCs w:val="24"/>
          <w:highlight w:val="none"/>
          <w:lang w:val="en-US" w:eastAsia="zh-CN"/>
          <w14:textFill>
            <w14:solidFill>
              <w14:schemeClr w14:val="tx1"/>
            </w14:solidFill>
          </w14:textFill>
        </w:rPr>
        <w:t>一切成本和费用。</w:t>
      </w:r>
    </w:p>
    <w:p>
      <w:pPr>
        <w:keepNext w:val="0"/>
        <w:keepLines w:val="0"/>
        <w:widowControl/>
        <w:suppressLineNumbers w:val="0"/>
        <w:jc w:val="left"/>
        <w:textAlignment w:val="center"/>
        <w:rPr>
          <w:rFonts w:hint="default" w:ascii="宋体" w:hAnsi="宋体" w:cs="宋体"/>
          <w:color w:val="000000"/>
          <w:sz w:val="24"/>
          <w:szCs w:val="24"/>
          <w:highlight w:val="none"/>
          <w:lang w:val="en-US" w:eastAsia="zh-CN"/>
        </w:rPr>
      </w:pPr>
      <w:r>
        <w:rPr>
          <w:rFonts w:hint="eastAsia" w:ascii="宋体" w:hAnsi="宋体" w:cs="宋体"/>
          <w:color w:val="000000" w:themeColor="text1"/>
          <w:sz w:val="24"/>
          <w:szCs w:val="24"/>
          <w:highlight w:val="none"/>
          <w:lang w:val="en-US" w:eastAsia="zh-CN"/>
          <w14:textFill>
            <w14:solidFill>
              <w14:schemeClr w14:val="tx1"/>
            </w14:solidFill>
          </w14:textFill>
        </w:rPr>
        <w:t>6.2.</w:t>
      </w:r>
      <w:r>
        <w:rPr>
          <w:rFonts w:hint="eastAsia" w:ascii="宋体" w:hAnsi="宋体" w:cs="宋体"/>
          <w:color w:val="000000" w:themeColor="text1"/>
          <w:sz w:val="24"/>
          <w:szCs w:val="24"/>
          <w:highlight w:val="none"/>
          <w14:textFill>
            <w14:solidFill>
              <w14:schemeClr w14:val="tx1"/>
            </w14:solidFill>
          </w14:textFill>
        </w:rPr>
        <w:t>结算价的确定：结算价=供货基准价*</w:t>
      </w:r>
      <w:r>
        <w:rPr>
          <w:rFonts w:hint="eastAsia" w:ascii="宋体" w:hAnsi="宋体" w:cs="宋体"/>
          <w:color w:val="000000" w:themeColor="text1"/>
          <w:sz w:val="24"/>
          <w:szCs w:val="24"/>
          <w:highlight w:val="none"/>
          <w:lang w:val="en-US" w:eastAsia="zh-CN"/>
          <w14:textFill>
            <w14:solidFill>
              <w14:schemeClr w14:val="tx1"/>
            </w14:solidFill>
          </w14:textFill>
        </w:rPr>
        <w:t>结算</w:t>
      </w:r>
      <w:r>
        <w:rPr>
          <w:rFonts w:hint="eastAsia" w:ascii="宋体" w:hAnsi="宋体" w:cs="宋体"/>
          <w:color w:val="000000" w:themeColor="text1"/>
          <w:sz w:val="24"/>
          <w:szCs w:val="24"/>
          <w:highlight w:val="none"/>
          <w14:textFill>
            <w14:solidFill>
              <w14:schemeClr w14:val="tx1"/>
            </w14:solidFill>
          </w14:textFill>
        </w:rPr>
        <w:t>率</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计算结果按四舍五入处理，保留两位小数</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sz w:val="24"/>
          <w:szCs w:val="24"/>
          <w:highlight w:val="none"/>
          <w:lang w:val="en-US" w:eastAsia="zh-CN"/>
        </w:rPr>
        <w:t>举例说明：假设采购人采购大米，依据双方确定的基准价130元/袋，若中标结算率为90%，则结算价计算如下：130 * 90% =117元/袋。</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sz w:val="24"/>
          <w:szCs w:val="24"/>
          <w:highlight w:val="none"/>
          <w:lang w:val="en-US" w:eastAsia="zh-CN"/>
        </w:rPr>
        <w:t>6.3.供</w:t>
      </w:r>
      <w:r>
        <w:rPr>
          <w:rFonts w:hint="eastAsia" w:ascii="宋体" w:hAnsi="宋体" w:cs="宋体"/>
          <w:color w:val="000000" w:themeColor="text1"/>
          <w:sz w:val="24"/>
          <w:szCs w:val="24"/>
          <w:highlight w:val="none"/>
          <w14:textFill>
            <w14:solidFill>
              <w14:schemeClr w14:val="tx1"/>
            </w14:solidFill>
          </w14:textFill>
        </w:rPr>
        <w:t>货基准价的确定：</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sz w:val="24"/>
          <w:szCs w:val="24"/>
          <w:highlight w:val="none"/>
          <w:lang w:val="en-US" w:eastAsia="zh-CN"/>
        </w:rPr>
        <w:t>6.3.1.</w:t>
      </w:r>
      <w:r>
        <w:rPr>
          <w:rFonts w:hint="eastAsia" w:ascii="宋体" w:hAnsi="宋体" w:cs="宋体"/>
          <w:color w:val="000000" w:themeColor="text1"/>
          <w:sz w:val="24"/>
          <w:szCs w:val="24"/>
          <w:highlight w:val="none"/>
          <w14:textFill>
            <w14:solidFill>
              <w14:schemeClr w14:val="tx1"/>
            </w14:solidFill>
          </w14:textFill>
        </w:rPr>
        <w:t>货物价格以</w:t>
      </w:r>
      <w:r>
        <w:rPr>
          <w:rFonts w:hint="eastAsia" w:ascii="宋体" w:hAnsi="宋体" w:cs="宋体"/>
          <w:color w:val="000000" w:themeColor="text1"/>
          <w:sz w:val="24"/>
          <w:szCs w:val="24"/>
          <w:highlight w:val="none"/>
          <w:lang w:eastAsia="zh-CN"/>
          <w14:textFill>
            <w14:solidFill>
              <w14:schemeClr w14:val="tx1"/>
            </w14:solidFill>
          </w14:textFill>
        </w:rPr>
        <w:t>成都市</w:t>
      </w:r>
      <w:r>
        <w:rPr>
          <w:rFonts w:hint="eastAsia" w:ascii="宋体" w:hAnsi="宋体" w:cs="宋体"/>
          <w:color w:val="000000" w:themeColor="text1"/>
          <w:sz w:val="24"/>
          <w:szCs w:val="24"/>
          <w:highlight w:val="none"/>
          <w14:textFill>
            <w14:solidFill>
              <w14:schemeClr w14:val="tx1"/>
            </w14:solidFill>
          </w14:textFill>
        </w:rPr>
        <w:t>发改委每月首次发布的《</w:t>
      </w:r>
      <w:r>
        <w:rPr>
          <w:rFonts w:hint="eastAsia" w:ascii="宋体" w:hAnsi="宋体" w:cs="宋体"/>
          <w:color w:val="000000" w:themeColor="text1"/>
          <w:sz w:val="24"/>
          <w:szCs w:val="24"/>
          <w:highlight w:val="none"/>
          <w:lang w:eastAsia="zh-CN"/>
          <w14:textFill>
            <w14:solidFill>
              <w14:schemeClr w14:val="tx1"/>
            </w14:solidFill>
          </w14:textFill>
        </w:rPr>
        <w:t>成都市发展和改革委员会-</w:t>
      </w:r>
      <w:r>
        <w:rPr>
          <w:rFonts w:hint="eastAsia" w:ascii="宋体" w:hAnsi="宋体" w:cs="宋体"/>
          <w:color w:val="000000" w:themeColor="text1"/>
          <w:sz w:val="24"/>
          <w:szCs w:val="24"/>
          <w:highlight w:val="none"/>
          <w:lang w:val="en-US" w:eastAsia="zh-CN"/>
          <w14:textFill>
            <w14:solidFill>
              <w14:schemeClr w14:val="tx1"/>
            </w14:solidFill>
          </w14:textFill>
        </w:rPr>
        <w:t>价格和收费信息公开-中心城区部分农贸市场价格</w:t>
      </w:r>
      <w:r>
        <w:rPr>
          <w:rFonts w:hint="eastAsia" w:ascii="宋体" w:hAnsi="宋体" w:cs="宋体"/>
          <w:color w:val="000000" w:themeColor="text1"/>
          <w:sz w:val="24"/>
          <w:szCs w:val="24"/>
          <w:highlight w:val="none"/>
          <w14:textFill>
            <w14:solidFill>
              <w14:schemeClr w14:val="tx1"/>
            </w14:solidFill>
          </w14:textFill>
        </w:rPr>
        <w:t>》作为基准价参考。</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sz w:val="24"/>
          <w:szCs w:val="24"/>
          <w:highlight w:val="none"/>
          <w:lang w:val="en-US" w:eastAsia="zh-CN"/>
        </w:rPr>
        <w:t>6.3.2.</w:t>
      </w:r>
      <w:r>
        <w:rPr>
          <w:rFonts w:hint="eastAsia" w:ascii="宋体" w:hAnsi="宋体" w:cs="宋体"/>
          <w:color w:val="000000" w:themeColor="text1"/>
          <w:sz w:val="24"/>
          <w:szCs w:val="24"/>
          <w:highlight w:val="none"/>
          <w14:textFill>
            <w14:solidFill>
              <w14:schemeClr w14:val="tx1"/>
            </w14:solidFill>
          </w14:textFill>
        </w:rPr>
        <w:t>所供货物不在《</w:t>
      </w:r>
      <w:r>
        <w:rPr>
          <w:rFonts w:hint="eastAsia" w:ascii="宋体" w:hAnsi="宋体" w:cs="宋体"/>
          <w:color w:val="000000" w:themeColor="text1"/>
          <w:sz w:val="24"/>
          <w:szCs w:val="24"/>
          <w:highlight w:val="none"/>
          <w:lang w:eastAsia="zh-CN"/>
          <w14:textFill>
            <w14:solidFill>
              <w14:schemeClr w14:val="tx1"/>
            </w14:solidFill>
          </w14:textFill>
        </w:rPr>
        <w:t>成都市发展和改革委员会-</w:t>
      </w:r>
      <w:r>
        <w:rPr>
          <w:rFonts w:hint="eastAsia" w:ascii="宋体" w:hAnsi="宋体" w:cs="宋体"/>
          <w:color w:val="000000" w:themeColor="text1"/>
          <w:sz w:val="24"/>
          <w:szCs w:val="24"/>
          <w:highlight w:val="none"/>
          <w:lang w:val="en-US" w:eastAsia="zh-CN"/>
          <w14:textFill>
            <w14:solidFill>
              <w14:schemeClr w14:val="tx1"/>
            </w14:solidFill>
          </w14:textFill>
        </w:rPr>
        <w:t>价格和收费信息公开-中心城区部分农贸市场价格</w:t>
      </w:r>
      <w:r>
        <w:rPr>
          <w:rFonts w:hint="eastAsia" w:ascii="宋体" w:hAnsi="宋体" w:cs="宋体"/>
          <w:color w:val="000000" w:themeColor="text1"/>
          <w:sz w:val="24"/>
          <w:szCs w:val="24"/>
          <w:highlight w:val="none"/>
          <w14:textFill>
            <w14:solidFill>
              <w14:schemeClr w14:val="tx1"/>
            </w14:solidFill>
          </w14:textFill>
        </w:rPr>
        <w:t>》内的，首先参照</w:t>
      </w:r>
      <w:r>
        <w:rPr>
          <w:rFonts w:hint="eastAsia" w:ascii="宋体" w:hAnsi="宋体" w:cs="宋体"/>
          <w:color w:val="000000" w:themeColor="text1"/>
          <w:sz w:val="24"/>
          <w:szCs w:val="24"/>
          <w:highlight w:val="none"/>
          <w:lang w:eastAsia="zh-CN"/>
          <w14:textFill>
            <w14:solidFill>
              <w14:schemeClr w14:val="tx1"/>
            </w14:solidFill>
          </w14:textFill>
        </w:rPr>
        <w:t>《成都市城市居民生活价格服务公益平台》</w:t>
      </w:r>
      <w:r>
        <w:rPr>
          <w:rFonts w:hint="eastAsia" w:ascii="宋体" w:hAnsi="宋体" w:cs="宋体"/>
          <w:color w:val="000000" w:themeColor="text1"/>
          <w:sz w:val="24"/>
          <w:szCs w:val="24"/>
          <w:highlight w:val="none"/>
          <w:lang w:val="en-US" w:eastAsia="zh-CN"/>
          <w14:textFill>
            <w14:solidFill>
              <w14:schemeClr w14:val="tx1"/>
            </w14:solidFill>
          </w14:textFill>
        </w:rPr>
        <w:t>发布</w:t>
      </w:r>
      <w:r>
        <w:rPr>
          <w:rFonts w:hint="eastAsia" w:ascii="宋体" w:hAnsi="宋体" w:cs="宋体"/>
          <w:color w:val="000000" w:themeColor="text1"/>
          <w:sz w:val="24"/>
          <w:szCs w:val="24"/>
          <w:highlight w:val="none"/>
          <w14:textFill>
            <w14:solidFill>
              <w14:schemeClr w14:val="tx1"/>
            </w14:solidFill>
          </w14:textFill>
        </w:rPr>
        <w:t>的市场平均价作为基准价。</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sz w:val="24"/>
          <w:szCs w:val="24"/>
          <w:highlight w:val="none"/>
          <w:lang w:val="en-US" w:eastAsia="zh-CN"/>
        </w:rPr>
        <w:t>6.3.3.</w:t>
      </w:r>
      <w:r>
        <w:rPr>
          <w:rFonts w:hint="eastAsia" w:ascii="宋体" w:hAnsi="宋体" w:cs="宋体"/>
          <w:color w:val="000000" w:themeColor="text1"/>
          <w:sz w:val="24"/>
          <w:szCs w:val="24"/>
          <w:highlight w:val="none"/>
          <w14:textFill>
            <w14:solidFill>
              <w14:schemeClr w14:val="tx1"/>
            </w14:solidFill>
          </w14:textFill>
        </w:rPr>
        <w:t>如果采购货物未在</w:t>
      </w:r>
      <w:r>
        <w:rPr>
          <w:rFonts w:hint="eastAsia" w:ascii="宋体" w:hAnsi="宋体" w:cs="宋体"/>
          <w:color w:val="000000" w:themeColor="text1"/>
          <w:sz w:val="24"/>
          <w:szCs w:val="24"/>
          <w:highlight w:val="none"/>
          <w:lang w:eastAsia="zh-CN"/>
          <w14:textFill>
            <w14:solidFill>
              <w14:schemeClr w14:val="tx1"/>
            </w14:solidFill>
          </w14:textFill>
        </w:rPr>
        <w:t>《成都市城市居民生活价格服务</w:t>
      </w:r>
      <w:r>
        <w:rPr>
          <w:rFonts w:hint="eastAsia" w:ascii="宋体" w:hAnsi="宋体" w:cs="宋体"/>
          <w:color w:val="000000" w:themeColor="text1"/>
          <w:sz w:val="24"/>
          <w:szCs w:val="24"/>
          <w:highlight w:val="none"/>
          <w:lang w:val="en-US" w:eastAsia="zh-CN"/>
          <w14:textFill>
            <w14:solidFill>
              <w14:schemeClr w14:val="tx1"/>
            </w14:solidFill>
          </w14:textFill>
        </w:rPr>
        <w:t>公益</w:t>
      </w:r>
      <w:r>
        <w:rPr>
          <w:rFonts w:hint="eastAsia" w:ascii="宋体" w:hAnsi="宋体" w:cs="宋体"/>
          <w:color w:val="000000" w:themeColor="text1"/>
          <w:sz w:val="24"/>
          <w:szCs w:val="24"/>
          <w:highlight w:val="none"/>
          <w:lang w:eastAsia="zh-CN"/>
          <w14:textFill>
            <w14:solidFill>
              <w14:schemeClr w14:val="tx1"/>
            </w14:solidFill>
          </w14:textFill>
        </w:rPr>
        <w:t>平台》</w:t>
      </w:r>
      <w:r>
        <w:rPr>
          <w:rFonts w:hint="eastAsia" w:ascii="宋体" w:hAnsi="宋体" w:cs="宋体"/>
          <w:color w:val="000000" w:themeColor="text1"/>
          <w:sz w:val="24"/>
          <w:szCs w:val="24"/>
          <w:highlight w:val="none"/>
          <w:lang w:val="en-US" w:eastAsia="zh-CN"/>
          <w14:textFill>
            <w14:solidFill>
              <w14:schemeClr w14:val="tx1"/>
            </w14:solidFill>
          </w14:textFill>
        </w:rPr>
        <w:t>内的</w:t>
      </w:r>
      <w:r>
        <w:rPr>
          <w:rFonts w:hint="eastAsia" w:ascii="宋体" w:hAnsi="宋体" w:cs="宋体"/>
          <w:color w:val="000000" w:themeColor="text1"/>
          <w:sz w:val="24"/>
          <w:szCs w:val="24"/>
          <w:highlight w:val="none"/>
          <w14:textFill>
            <w14:solidFill>
              <w14:schemeClr w14:val="tx1"/>
            </w14:solidFill>
          </w14:textFill>
        </w:rPr>
        <w:t>，则在项目所在地就近的综合市场或大型超市进行联合采价作为基准价（每次采价由院方随机抽取），</w:t>
      </w:r>
      <w:r>
        <w:rPr>
          <w:rFonts w:hint="eastAsia" w:ascii="宋体" w:hAnsi="宋体" w:cs="宋体"/>
          <w:color w:val="000000"/>
          <w:sz w:val="24"/>
          <w:szCs w:val="24"/>
          <w:highlight w:val="none"/>
          <w:lang w:val="en-US" w:eastAsia="zh-CN"/>
        </w:rPr>
        <w:t>基准价为该市场的常规零售标价，临时性、短期性促销价格（如店庆、限时特价）、会员专享价、破损或临期商品处理等非正常售价，不作为基准价，采购结果应由采购方、供应方共同签字确认。</w:t>
      </w:r>
    </w:p>
    <w:p>
      <w:pPr>
        <w:pStyle w:val="2"/>
        <w:rPr>
          <w:rFonts w:hint="eastAsia"/>
          <w:highlight w:val="none"/>
          <w:lang w:val="en-US" w:eastAsia="zh-CN"/>
        </w:rPr>
      </w:pPr>
      <w:r>
        <w:rPr>
          <w:rFonts w:hint="eastAsia" w:ascii="宋体" w:hAnsi="宋体" w:cs="宋体"/>
          <w:color w:val="000000" w:themeColor="text1"/>
          <w:sz w:val="24"/>
          <w:szCs w:val="24"/>
          <w:highlight w:val="none"/>
          <w:lang w:val="en-US" w:eastAsia="zh-CN"/>
          <w14:textFill>
            <w14:solidFill>
              <w14:schemeClr w14:val="tx1"/>
            </w14:solidFill>
          </w14:textFill>
        </w:rPr>
        <w:t>6.3.4.</w:t>
      </w:r>
      <w:r>
        <w:rPr>
          <w:rFonts w:hint="eastAsia" w:ascii="宋体" w:hAnsi="宋体" w:cs="宋体"/>
          <w:color w:val="000000" w:themeColor="text1"/>
          <w:sz w:val="24"/>
          <w:szCs w:val="24"/>
          <w:highlight w:val="none"/>
          <w14:textFill>
            <w14:solidFill>
              <w14:schemeClr w14:val="tx1"/>
            </w14:solidFill>
          </w14:textFill>
        </w:rPr>
        <w:t>该项目采价周期为每</w:t>
      </w:r>
      <w:r>
        <w:rPr>
          <w:rFonts w:hint="eastAsia" w:hAnsi="宋体" w:cs="宋体"/>
          <w:color w:val="000000" w:themeColor="text1"/>
          <w:sz w:val="24"/>
          <w:szCs w:val="24"/>
          <w:highlight w:val="none"/>
          <w:lang w:val="en-US" w:eastAsia="zh-CN"/>
          <w14:textFill>
            <w14:solidFill>
              <w14:schemeClr w14:val="tx1"/>
            </w14:solidFill>
          </w14:textFill>
        </w:rPr>
        <w:t>季度</w:t>
      </w:r>
      <w:r>
        <w:rPr>
          <w:rFonts w:hint="eastAsia" w:ascii="宋体" w:hAnsi="宋体" w:cs="宋体"/>
          <w:color w:val="000000" w:themeColor="text1"/>
          <w:sz w:val="24"/>
          <w:szCs w:val="24"/>
          <w:highlight w:val="none"/>
          <w14:textFill>
            <w14:solidFill>
              <w14:schemeClr w14:val="tx1"/>
            </w14:solidFill>
          </w14:textFill>
        </w:rPr>
        <w:t>一次。</w:t>
      </w:r>
    </w:p>
    <w:p>
      <w:pPr>
        <w:rPr>
          <w:rFonts w:hint="eastAsia" w:ascii="宋体" w:hAnsi="宋体" w:cs="宋体"/>
          <w:color w:val="000000"/>
          <w:sz w:val="24"/>
          <w:szCs w:val="24"/>
          <w:highlight w:val="none"/>
        </w:rPr>
      </w:pPr>
      <w:r>
        <w:rPr>
          <w:rFonts w:hint="eastAsia" w:ascii="宋体" w:hAnsi="宋体" w:cs="宋体"/>
          <w:color w:val="000000"/>
          <w:sz w:val="24"/>
          <w:szCs w:val="24"/>
          <w:highlight w:val="none"/>
        </w:rPr>
        <w:t>7.所供货物应能在政府指定的食品溯源系统进行有效溯源。</w:t>
      </w:r>
    </w:p>
    <w:p>
      <w:pPr>
        <w:pStyle w:val="2"/>
        <w:ind w:left="240" w:hanging="240" w:hangingChars="100"/>
        <w:jc w:val="left"/>
        <w:rPr>
          <w:lang w:val="zh-CN"/>
        </w:rPr>
      </w:pPr>
      <w:r>
        <w:rPr>
          <w:rFonts w:hint="eastAsia" w:hAnsi="宋体" w:cs="宋体"/>
          <w:sz w:val="24"/>
          <w:szCs w:val="24"/>
          <w:highlight w:val="none"/>
          <w:lang w:val="en-US" w:eastAsia="zh-CN"/>
        </w:rPr>
        <w:t>8</w:t>
      </w:r>
      <w:r>
        <w:rPr>
          <w:rFonts w:hint="eastAsia" w:ascii="宋体" w:hAnsi="宋体" w:eastAsia="宋体" w:cs="宋体"/>
          <w:sz w:val="24"/>
          <w:szCs w:val="24"/>
          <w:highlight w:val="none"/>
          <w:lang w:val="en-US" w:eastAsia="zh-CN"/>
        </w:rPr>
        <w:t>.</w:t>
      </w:r>
      <w:r>
        <w:rPr>
          <w:rFonts w:ascii="宋体" w:hAnsi="宋体" w:eastAsia="宋体" w:cs="宋体"/>
          <w:sz w:val="24"/>
          <w:szCs w:val="24"/>
          <w:highlight w:val="none"/>
        </w:rPr>
        <w:t>服务期限</w:t>
      </w:r>
      <w:r>
        <w:rPr>
          <w:rFonts w:hint="eastAsia" w:ascii="宋体" w:hAnsi="宋体" w:cs="宋体"/>
          <w:sz w:val="24"/>
          <w:szCs w:val="24"/>
          <w:highlight w:val="none"/>
          <w:lang w:eastAsia="zh-CN"/>
        </w:rPr>
        <w:t>：</w:t>
      </w:r>
      <w:r>
        <w:rPr>
          <w:rFonts w:hint="eastAsia" w:asciiTheme="minorEastAsia" w:hAnsiTheme="minorEastAsia" w:eastAsiaTheme="minorEastAsia" w:cstheme="minorEastAsia"/>
          <w:sz w:val="24"/>
          <w:szCs w:val="24"/>
        </w:rPr>
        <w:t>本项目服务期限</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年，合同一年一签。经</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方年度考核</w:t>
      </w:r>
      <w:r>
        <w:rPr>
          <w:rFonts w:hint="eastAsia" w:asciiTheme="minorEastAsia" w:hAnsiTheme="minorEastAsia" w:eastAsiaTheme="minorEastAsia" w:cstheme="minorEastAsia"/>
          <w:sz w:val="24"/>
          <w:szCs w:val="24"/>
          <w:lang w:val="en-US" w:eastAsia="zh-CN"/>
        </w:rPr>
        <w:t>粮油</w:t>
      </w:r>
      <w:r>
        <w:rPr>
          <w:rFonts w:hint="eastAsia" w:asciiTheme="minorEastAsia" w:hAnsiTheme="minorEastAsia" w:eastAsiaTheme="minorEastAsia" w:cstheme="minorEastAsia"/>
          <w:sz w:val="24"/>
          <w:szCs w:val="24"/>
        </w:rPr>
        <w:t>供应服务合格（不合格为一个合同年度内累计三个月考核低于</w:t>
      </w:r>
      <w:r>
        <w:rPr>
          <w:rFonts w:hint="eastAsia" w:asciiTheme="minorEastAsia" w:hAnsiTheme="minorEastAsia" w:eastAsiaTheme="minorEastAsia" w:cstheme="minorEastAsia"/>
          <w:sz w:val="24"/>
          <w:szCs w:val="24"/>
          <w:lang w:val="en-US" w:eastAsia="zh-CN"/>
        </w:rPr>
        <w:t>85</w:t>
      </w:r>
      <w:r>
        <w:rPr>
          <w:rFonts w:hint="eastAsia" w:asciiTheme="minorEastAsia" w:hAnsiTheme="minorEastAsia" w:eastAsiaTheme="minorEastAsia" w:cstheme="minorEastAsia"/>
          <w:sz w:val="24"/>
          <w:szCs w:val="24"/>
        </w:rPr>
        <w:t>分）,方可续签下一年度合同。</w:t>
      </w:r>
    </w:p>
    <w:p>
      <w:pPr>
        <w:rPr>
          <w:rFonts w:ascii="宋体" w:hAnsi="宋体" w:cs="宋体"/>
          <w:color w:val="000000"/>
          <w:sz w:val="24"/>
          <w:szCs w:val="24"/>
          <w:highlight w:val="none"/>
        </w:rPr>
      </w:pPr>
      <w:r>
        <w:rPr>
          <w:rFonts w:hint="eastAsia" w:ascii="宋体" w:hAnsi="宋体" w:cs="宋体"/>
          <w:color w:val="000000"/>
          <w:sz w:val="24"/>
          <w:szCs w:val="24"/>
          <w:highlight w:val="none"/>
        </w:rPr>
        <w:t>第</w:t>
      </w:r>
      <w:r>
        <w:rPr>
          <w:rFonts w:hint="eastAsia" w:ascii="宋体" w:hAnsi="宋体" w:cs="宋体"/>
          <w:color w:val="000000"/>
          <w:sz w:val="24"/>
          <w:szCs w:val="24"/>
          <w:highlight w:val="none"/>
          <w:lang w:eastAsia="zh-CN"/>
        </w:rPr>
        <w:t>五</w:t>
      </w:r>
      <w:r>
        <w:rPr>
          <w:rFonts w:hint="eastAsia" w:ascii="宋体" w:hAnsi="宋体" w:cs="宋体"/>
          <w:color w:val="000000"/>
          <w:sz w:val="24"/>
          <w:szCs w:val="24"/>
          <w:highlight w:val="none"/>
        </w:rPr>
        <w:t>包：</w:t>
      </w:r>
    </w:p>
    <w:p>
      <w:pPr>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eastAsia="zh-CN"/>
        </w:rPr>
        <w:t>半成品</w:t>
      </w:r>
      <w:r>
        <w:rPr>
          <w:rFonts w:hint="eastAsia" w:ascii="宋体" w:hAnsi="宋体" w:cs="宋体"/>
          <w:color w:val="000000"/>
          <w:sz w:val="24"/>
          <w:szCs w:val="24"/>
          <w:highlight w:val="none"/>
          <w:lang w:val="en-US" w:eastAsia="zh-CN"/>
        </w:rPr>
        <w:t>供应服务</w:t>
      </w:r>
      <w:r>
        <w:rPr>
          <w:rFonts w:hint="eastAsia" w:ascii="宋体" w:hAnsi="宋体" w:cs="宋体"/>
          <w:color w:val="000000"/>
          <w:sz w:val="24"/>
          <w:szCs w:val="24"/>
          <w:highlight w:val="none"/>
        </w:rPr>
        <w:t>内容:</w:t>
      </w:r>
    </w:p>
    <w:tbl>
      <w:tblPr>
        <w:tblStyle w:val="10"/>
        <w:tblpPr w:leftFromText="180" w:rightFromText="180" w:vertAnchor="text" w:horzAnchor="page" w:tblpX="1081" w:tblpY="411"/>
        <w:tblOverlap w:val="never"/>
        <w:tblW w:w="5037" w:type="pct"/>
        <w:tblInd w:w="0" w:type="dxa"/>
        <w:tblLayout w:type="fixed"/>
        <w:tblCellMar>
          <w:top w:w="0" w:type="dxa"/>
          <w:left w:w="108" w:type="dxa"/>
          <w:bottom w:w="0" w:type="dxa"/>
          <w:right w:w="108" w:type="dxa"/>
        </w:tblCellMar>
      </w:tblPr>
      <w:tblGrid>
        <w:gridCol w:w="969"/>
        <w:gridCol w:w="2084"/>
        <w:gridCol w:w="6983"/>
      </w:tblGrid>
      <w:tr>
        <w:trPr>
          <w:trHeight w:val="90" w:hRule="atLeast"/>
        </w:trPr>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序号</w:t>
            </w:r>
          </w:p>
        </w:tc>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b/>
                <w:bCs/>
                <w:color w:val="000000"/>
                <w:sz w:val="21"/>
                <w:szCs w:val="21"/>
                <w:highlight w:val="none"/>
              </w:rPr>
            </w:pPr>
            <w:r>
              <w:rPr>
                <w:rStyle w:val="18"/>
                <w:rFonts w:hint="eastAsia" w:ascii="宋体" w:hAnsi="宋体" w:eastAsia="宋体" w:cs="宋体"/>
                <w:b/>
                <w:bCs/>
                <w:sz w:val="21"/>
                <w:szCs w:val="21"/>
                <w:highlight w:val="none"/>
                <w:lang w:val="en-US" w:eastAsia="zh-CN"/>
              </w:rPr>
              <w:t>标的</w:t>
            </w:r>
            <w:r>
              <w:rPr>
                <w:rStyle w:val="18"/>
                <w:rFonts w:hint="eastAsia" w:ascii="宋体" w:hAnsi="宋体" w:eastAsia="宋体" w:cs="宋体"/>
                <w:b/>
                <w:bCs/>
                <w:sz w:val="21"/>
                <w:szCs w:val="21"/>
                <w:highlight w:val="none"/>
              </w:rPr>
              <w:t>名称</w:t>
            </w:r>
          </w:p>
        </w:tc>
        <w:tc>
          <w:tcPr>
            <w:tcW w:w="347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b/>
                <w:bCs/>
                <w:color w:val="000000"/>
                <w:sz w:val="21"/>
                <w:szCs w:val="21"/>
                <w:highlight w:val="none"/>
                <w:lang w:val="en-US" w:eastAsia="zh-CN"/>
              </w:rPr>
            </w:pPr>
            <w:r>
              <w:rPr>
                <w:rStyle w:val="17"/>
                <w:rFonts w:hint="eastAsia" w:ascii="宋体" w:hAnsi="宋体" w:eastAsia="宋体" w:cs="宋体"/>
                <w:b/>
                <w:bCs/>
                <w:sz w:val="21"/>
                <w:szCs w:val="21"/>
                <w:highlight w:val="none"/>
                <w:lang w:val="en-US" w:eastAsia="zh-CN"/>
              </w:rPr>
              <w:t>技术参数与性能指标</w:t>
            </w:r>
          </w:p>
        </w:tc>
      </w:tr>
      <w:tr>
        <w:tblPrEx>
          <w:tblCellMar>
            <w:top w:w="0" w:type="dxa"/>
            <w:left w:w="108" w:type="dxa"/>
            <w:bottom w:w="0" w:type="dxa"/>
            <w:right w:w="108" w:type="dxa"/>
          </w:tblCellMar>
        </w:tblPrEx>
        <w:trPr>
          <w:trHeight w:val="975" w:hRule="atLeast"/>
        </w:trPr>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预包装速冻食品</w:t>
            </w:r>
          </w:p>
        </w:tc>
        <w:tc>
          <w:tcPr>
            <w:tcW w:w="34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符合GB 31605-2020 《食品安全国家标准 食品冷链物流卫生规范》等相关标准。如有最新标准时按最新标准行。</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sz w:val="21"/>
                <w:szCs w:val="21"/>
                <w:highlight w:val="none"/>
                <w:lang w:val="en-US" w:eastAsia="zh-CN"/>
              </w:rPr>
              <w:t>质量要求</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i w:val="0"/>
                <w:iCs w:val="0"/>
                <w:caps w:val="0"/>
                <w:color w:val="000000"/>
                <w:spacing w:val="0"/>
                <w:sz w:val="21"/>
                <w:szCs w:val="21"/>
                <w:highlight w:val="none"/>
                <w:shd w:val="clear" w:fill="FFFFFF"/>
              </w:rPr>
              <w:t>涵盖速冻水饺、汤圆、肉丸等预包装食品及冷冻海鲜等，产品储存温度需维持在 - 18℃±2℃，解冻后感官指标应符合相应产品标准，无变色、异味、变形等情况。</w:t>
            </w:r>
          </w:p>
          <w:p>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（3）储存运输：</w:t>
            </w:r>
            <w:r>
              <w:rPr>
                <w:rFonts w:hint="eastAsia" w:ascii="宋体" w:hAnsi="宋体" w:eastAsia="宋体" w:cs="宋体"/>
                <w:i w:val="0"/>
                <w:iCs w:val="0"/>
                <w:caps w:val="0"/>
                <w:color w:val="000000"/>
                <w:spacing w:val="0"/>
                <w:sz w:val="21"/>
                <w:szCs w:val="21"/>
                <w:highlight w:val="none"/>
                <w:shd w:val="clear" w:fill="FFFFFF"/>
              </w:rPr>
              <w:t>预包装冻货需具备完整标签，标明产品名称、配料表、生产日期、保质期、贮存条件等信息</w:t>
            </w:r>
            <w:r>
              <w:rPr>
                <w:rFonts w:hint="eastAsia" w:ascii="宋体" w:hAnsi="宋体" w:eastAsia="宋体" w:cs="宋体"/>
                <w:i w:val="0"/>
                <w:iCs w:val="0"/>
                <w:caps w:val="0"/>
                <w:color w:val="000000"/>
                <w:spacing w:val="0"/>
                <w:sz w:val="21"/>
                <w:szCs w:val="21"/>
                <w:highlight w:val="none"/>
                <w:shd w:val="clear" w:fill="FFFFFF"/>
                <w:lang w:eastAsia="zh-CN"/>
              </w:rPr>
              <w:t>，</w:t>
            </w:r>
            <w:r>
              <w:rPr>
                <w:rFonts w:hint="eastAsia" w:ascii="宋体" w:hAnsi="宋体" w:eastAsia="宋体" w:cs="宋体"/>
                <w:i w:val="0"/>
                <w:iCs w:val="0"/>
                <w:caps w:val="0"/>
                <w:color w:val="000000"/>
                <w:spacing w:val="0"/>
                <w:sz w:val="21"/>
                <w:szCs w:val="21"/>
                <w:highlight w:val="none"/>
                <w:shd w:val="clear" w:fill="FFFFFF"/>
              </w:rPr>
              <w:t>确保冻货品质稳定、安全可追溯。</w:t>
            </w:r>
          </w:p>
        </w:tc>
      </w:tr>
      <w:tr>
        <w:tblPrEx>
          <w:tblCellMar>
            <w:top w:w="0" w:type="dxa"/>
            <w:left w:w="108" w:type="dxa"/>
            <w:bottom w:w="0" w:type="dxa"/>
            <w:right w:w="108" w:type="dxa"/>
          </w:tblCellMar>
        </w:tblPrEx>
        <w:trPr>
          <w:trHeight w:val="975" w:hRule="atLeast"/>
        </w:trPr>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2</w:t>
            </w:r>
          </w:p>
        </w:tc>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面食半成品</w:t>
            </w:r>
          </w:p>
        </w:tc>
        <w:tc>
          <w:tcPr>
            <w:tcW w:w="34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（1）质量标准： </w:t>
            </w: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val="en-US" w:eastAsia="zh-CN"/>
              </w:rPr>
              <w:t>GB 2760-2024 《食品安全国家标准 食品添加剂使用标准》</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aps w:val="0"/>
                <w:color w:val="auto"/>
                <w:spacing w:val="0"/>
                <w:sz w:val="21"/>
                <w:szCs w:val="21"/>
                <w:highlight w:val="none"/>
                <w:shd w:val="clear" w:fill="FFFFFF"/>
              </w:rPr>
              <w:t xml:space="preserve">GB </w:t>
            </w:r>
            <w:r>
              <w:rPr>
                <w:rFonts w:hint="eastAsia" w:ascii="宋体" w:hAnsi="宋体" w:eastAsia="宋体" w:cs="宋体"/>
                <w:i w:val="0"/>
                <w:iCs w:val="0"/>
                <w:caps w:val="0"/>
                <w:color w:val="auto"/>
                <w:spacing w:val="0"/>
                <w:sz w:val="21"/>
                <w:szCs w:val="21"/>
                <w:highlight w:val="none"/>
                <w:shd w:val="clear" w:fill="FFFFFF"/>
                <w:lang w:val="en-US" w:eastAsia="zh-CN"/>
              </w:rPr>
              <w:t>19295</w:t>
            </w:r>
            <w:r>
              <w:rPr>
                <w:rFonts w:hint="eastAsia" w:ascii="宋体" w:hAnsi="宋体" w:eastAsia="宋体" w:cs="宋体"/>
                <w:i w:val="0"/>
                <w:iCs w:val="0"/>
                <w:caps w:val="0"/>
                <w:color w:val="auto"/>
                <w:spacing w:val="0"/>
                <w:sz w:val="21"/>
                <w:szCs w:val="21"/>
                <w:highlight w:val="none"/>
                <w:shd w:val="clear" w:fill="FFFFFF"/>
              </w:rPr>
              <w:t>-</w:t>
            </w:r>
            <w:r>
              <w:rPr>
                <w:rFonts w:hint="eastAsia" w:ascii="宋体" w:hAnsi="宋体" w:eastAsia="宋体" w:cs="宋体"/>
                <w:i w:val="0"/>
                <w:iCs w:val="0"/>
                <w:caps w:val="0"/>
                <w:color w:val="auto"/>
                <w:spacing w:val="0"/>
                <w:sz w:val="21"/>
                <w:szCs w:val="21"/>
                <w:highlight w:val="none"/>
                <w:shd w:val="clear" w:fill="FFFFFF"/>
                <w:lang w:val="en-US" w:eastAsia="zh-CN"/>
              </w:rPr>
              <w:t>2021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0"/>
                <w:sz w:val="21"/>
                <w:szCs w:val="21"/>
                <w:highlight w:val="none"/>
                <w:lang w:val="en-US" w:eastAsia="zh-CN" w:bidi="ar"/>
              </w:rPr>
              <w:t>食品安全国家标准 速冻面米与调制食品</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w:t>
            </w:r>
            <w:r>
              <w:rPr>
                <w:rFonts w:hint="eastAsia" w:ascii="宋体" w:hAnsi="宋体" w:eastAsia="宋体" w:cs="宋体"/>
                <w:sz w:val="21"/>
                <w:szCs w:val="21"/>
                <w:highlight w:val="none"/>
              </w:rPr>
              <w:t>GB/T 135</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-20</w:t>
            </w:r>
            <w:r>
              <w:rPr>
                <w:rFonts w:hint="eastAsia" w:ascii="宋体" w:hAnsi="宋体" w:eastAsia="宋体" w:cs="宋体"/>
                <w:sz w:val="21"/>
                <w:szCs w:val="21"/>
                <w:highlight w:val="none"/>
                <w:lang w:val="en-US" w:eastAsia="zh-CN"/>
              </w:rPr>
              <w:t>21</w:t>
            </w:r>
            <w:r>
              <w:rPr>
                <w:rFonts w:hint="eastAsia" w:ascii="宋体" w:hAnsi="宋体" w:eastAsia="宋体" w:cs="宋体"/>
                <w:sz w:val="21"/>
                <w:szCs w:val="21"/>
                <w:highlight w:val="none"/>
              </w:rPr>
              <w:t>《小麦粉》</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p>
          <w:p>
            <w:pPr>
              <w:pStyle w:val="2"/>
              <w:rPr>
                <w:rFonts w:hint="eastAsia" w:ascii="宋体" w:hAnsi="宋体" w:eastAsia="宋体" w:cs="宋体"/>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sz w:val="21"/>
                <w:szCs w:val="21"/>
                <w:highlight w:val="none"/>
                <w:lang w:val="en-US" w:eastAsia="zh-CN"/>
              </w:rPr>
              <w:t>质量要求</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sz w:val="21"/>
                <w:szCs w:val="21"/>
                <w:highlight w:val="none"/>
                <w:lang w:val="en-US" w:eastAsia="zh-CN"/>
              </w:rPr>
              <w:t>产品需呈现原料天然色泽（如小麦粉的乳白或微黄色）。形态应均匀、规整（如条形一致的面条、厚薄均匀的面皮）。具有面粉或原料应有的自然香味，无异味、酸味、霉味。煮熟后口感爽滑，不粘牙，有适当的筋道感。原料应为一年内新粮研磨，无霉变、无杂质。</w:t>
            </w:r>
          </w:p>
          <w:p>
            <w:pPr>
              <w:pStyle w:val="2"/>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（3）储存运输：</w:t>
            </w:r>
            <w:r>
              <w:rPr>
                <w:rFonts w:hint="eastAsia" w:ascii="宋体" w:hAnsi="宋体" w:eastAsia="宋体" w:cs="宋体"/>
                <w:sz w:val="21"/>
                <w:szCs w:val="21"/>
                <w:highlight w:val="none"/>
                <w:lang w:val="en-US" w:eastAsia="zh-CN"/>
              </w:rPr>
              <w:t>配送当天生产的鲜制品。如需配送，应确保在冷藏条件下运输，保证产品新鲜，送达时无变质、无异味。</w:t>
            </w:r>
          </w:p>
        </w:tc>
      </w:tr>
      <w:tr>
        <w:tblPrEx>
          <w:tblCellMar>
            <w:top w:w="0" w:type="dxa"/>
            <w:left w:w="108" w:type="dxa"/>
            <w:bottom w:w="0" w:type="dxa"/>
            <w:right w:w="108" w:type="dxa"/>
          </w:tblCellMar>
        </w:tblPrEx>
        <w:trPr>
          <w:trHeight w:val="975" w:hRule="atLeast"/>
        </w:trPr>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3</w:t>
            </w:r>
          </w:p>
        </w:tc>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预制菜</w:t>
            </w:r>
          </w:p>
        </w:tc>
        <w:tc>
          <w:tcPr>
            <w:tcW w:w="34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（1）质量标准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符</w:t>
            </w:r>
            <w:r>
              <w:rPr>
                <w:rFonts w:hint="eastAsia" w:ascii="宋体" w:hAnsi="宋体" w:cs="宋体"/>
                <w:color w:val="auto"/>
                <w:sz w:val="21"/>
                <w:szCs w:val="21"/>
                <w:highlight w:val="none"/>
                <w:lang w:val="en-US" w:eastAsia="zh-CN"/>
              </w:rPr>
              <w:t>合</w:t>
            </w:r>
            <w:r>
              <w:rPr>
                <w:rFonts w:hint="eastAsia" w:ascii="宋体" w:hAnsi="宋体" w:cs="宋体"/>
                <w:sz w:val="21"/>
                <w:szCs w:val="21"/>
                <w:highlight w:val="none"/>
                <w:lang w:val="en-US" w:eastAsia="zh-CN"/>
              </w:rPr>
              <w:t>S</w:t>
            </w:r>
            <w:r>
              <w:rPr>
                <w:rFonts w:hint="eastAsia" w:ascii="宋体" w:hAnsi="宋体" w:eastAsia="宋体" w:cs="宋体"/>
                <w:sz w:val="21"/>
                <w:szCs w:val="21"/>
                <w:highlight w:val="none"/>
              </w:rPr>
              <w:t xml:space="preserve">B/T </w:t>
            </w:r>
            <w:r>
              <w:rPr>
                <w:rFonts w:hint="eastAsia" w:ascii="宋体" w:hAnsi="宋体" w:cs="宋体"/>
                <w:sz w:val="21"/>
                <w:szCs w:val="21"/>
                <w:highlight w:val="none"/>
                <w:lang w:val="en-US" w:eastAsia="zh-CN"/>
              </w:rPr>
              <w:t>10379</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速冻调制食品</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G</w:t>
            </w:r>
            <w:r>
              <w:rPr>
                <w:rFonts w:hint="eastAsia" w:ascii="宋体" w:hAnsi="宋体" w:eastAsia="宋体" w:cs="宋体"/>
                <w:sz w:val="21"/>
                <w:szCs w:val="21"/>
                <w:highlight w:val="none"/>
              </w:rPr>
              <w:t xml:space="preserve">B/T </w:t>
            </w:r>
            <w:r>
              <w:rPr>
                <w:rFonts w:hint="eastAsia" w:ascii="宋体" w:hAnsi="宋体" w:cs="宋体"/>
                <w:sz w:val="21"/>
                <w:szCs w:val="21"/>
                <w:highlight w:val="none"/>
                <w:lang w:val="en-US" w:eastAsia="zh-CN"/>
              </w:rPr>
              <w:t>31116</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菜肴罐头</w:t>
            </w:r>
            <w:r>
              <w:rPr>
                <w:rFonts w:hint="eastAsia" w:ascii="宋体" w:hAnsi="宋体" w:eastAsia="宋体" w:cs="宋体"/>
                <w:sz w:val="21"/>
                <w:szCs w:val="21"/>
                <w:highlight w:val="none"/>
              </w:rPr>
              <w:t>》</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相关标准。如有最新标准时按最新标准行。</w:t>
            </w:r>
          </w:p>
          <w:p>
            <w:pPr>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sz w:val="21"/>
                <w:szCs w:val="21"/>
                <w:highlight w:val="none"/>
                <w:lang w:val="en-US" w:eastAsia="zh-CN"/>
              </w:rPr>
              <w:t>质量要求</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sz w:val="21"/>
                <w:szCs w:val="21"/>
                <w:highlight w:val="none"/>
              </w:rPr>
              <w:t>所有产品均需符合国家食品安全标准。食材需新鲜，不得使用变质原料。产品需经规范的杀菌处理，微生物指标合格，并在冷藏或冷冻条件下有合理的保质期。</w:t>
            </w:r>
          </w:p>
          <w:p>
            <w:pPr>
              <w:rPr>
                <w:rFonts w:hint="eastAsia" w:ascii="宋体" w:hAnsi="宋体" w:eastAsia="宋体" w:cs="宋体"/>
                <w:i w:val="0"/>
                <w:iCs w:val="0"/>
                <w:caps w:val="0"/>
                <w:color w:val="0F1115"/>
                <w:spacing w:val="0"/>
                <w:sz w:val="21"/>
                <w:szCs w:val="21"/>
                <w:highlight w:val="none"/>
                <w:shd w:val="clear" w:fill="FFFFFF"/>
              </w:rPr>
            </w:pPr>
            <w:r>
              <w:rPr>
                <w:rFonts w:hint="eastAsia" w:ascii="宋体" w:hAnsi="宋体" w:eastAsia="宋体" w:cs="宋体"/>
                <w:color w:val="auto"/>
                <w:sz w:val="21"/>
                <w:szCs w:val="21"/>
                <w:highlight w:val="none"/>
                <w:lang w:val="en-US" w:eastAsia="zh-CN"/>
              </w:rPr>
              <w:t>（3）储存运输：</w:t>
            </w:r>
            <w:r>
              <w:rPr>
                <w:rFonts w:hint="eastAsia" w:ascii="宋体" w:hAnsi="宋体" w:eastAsia="宋体" w:cs="宋体"/>
                <w:i w:val="0"/>
                <w:iCs w:val="0"/>
                <w:caps w:val="0"/>
                <w:color w:val="0F1115"/>
                <w:spacing w:val="0"/>
                <w:sz w:val="21"/>
                <w:szCs w:val="21"/>
                <w:highlight w:val="none"/>
                <w:shd w:val="clear" w:fill="FFFFFF"/>
              </w:rPr>
              <w:t>采用耐高温、耐低温（根据产品特性）的食品级包装材料，密封性能良好，无渗漏、无异味；包装材料符合GB 4806系列标准，微波加热型预制菜包装需标注“可微波加热”标识及相关注意事项；标识信息完整（同包装速冻食品标识要求，需额外标注食用方法、加热温度及时间）</w:t>
            </w:r>
          </w:p>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p>
            <w:pPr>
              <w:rPr>
                <w:rFonts w:hint="eastAsia" w:ascii="宋体" w:hAnsi="宋体" w:eastAsia="宋体" w:cs="宋体"/>
                <w:i w:val="0"/>
                <w:iCs w:val="0"/>
                <w:caps w:val="0"/>
                <w:color w:val="0F1115"/>
                <w:spacing w:val="0"/>
                <w:sz w:val="21"/>
                <w:szCs w:val="21"/>
                <w:highlight w:val="none"/>
                <w:shd w:val="clear" w:fill="FFFFFF"/>
                <w:lang w:eastAsia="zh-CN"/>
              </w:rPr>
            </w:pPr>
          </w:p>
        </w:tc>
      </w:tr>
    </w:tbl>
    <w:p>
      <w:pPr>
        <w:rPr>
          <w:rFonts w:hint="eastAsia" w:ascii="宋体" w:hAnsi="宋体" w:cs="宋体"/>
          <w:highlight w:val="none"/>
        </w:rPr>
      </w:pPr>
    </w:p>
    <w:p>
      <w:pPr>
        <w:rPr>
          <w:rFonts w:ascii="宋体" w:hAnsi="宋体" w:cs="宋体"/>
          <w:color w:val="000000"/>
          <w:sz w:val="24"/>
          <w:szCs w:val="24"/>
          <w:highlight w:val="none"/>
        </w:rPr>
      </w:pPr>
      <w:r>
        <w:rPr>
          <w:rFonts w:hint="eastAsia" w:ascii="宋体" w:hAnsi="宋体" w:cs="宋体"/>
          <w:color w:val="000000"/>
          <w:sz w:val="24"/>
          <w:szCs w:val="24"/>
          <w:highlight w:val="none"/>
        </w:rPr>
        <w:t>2.人员配置：供应方须就该项目配置固定的业务联络人和配送人员，配送人员须持有有效的健康证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并提供近3年内无吸毒史的承诺书</w:t>
      </w:r>
      <w:r>
        <w:rPr>
          <w:rFonts w:hint="eastAsia" w:ascii="宋体" w:hAnsi="宋体" w:cs="宋体"/>
          <w:color w:val="000000"/>
          <w:sz w:val="24"/>
          <w:szCs w:val="24"/>
          <w:highlight w:val="none"/>
        </w:rPr>
        <w:t>。</w:t>
      </w:r>
    </w:p>
    <w:p>
      <w:pPr>
        <w:rPr>
          <w:rFonts w:hint="eastAsia" w:ascii="宋体" w:hAnsi="宋体" w:cs="宋体"/>
          <w:color w:val="000000"/>
          <w:sz w:val="24"/>
          <w:szCs w:val="24"/>
          <w:highlight w:val="none"/>
        </w:rPr>
      </w:pPr>
      <w:r>
        <w:rPr>
          <w:rFonts w:hint="eastAsia" w:ascii="宋体" w:hAnsi="宋体" w:cs="宋体"/>
          <w:color w:val="000000"/>
          <w:sz w:val="24"/>
          <w:szCs w:val="24"/>
          <w:highlight w:val="none"/>
        </w:rPr>
        <w:t>3.设施设备配置：食品专用冷藏配送车辆≥2辆，封闭式食品配送车辆≥2辆。</w:t>
      </w:r>
    </w:p>
    <w:p>
      <w:pPr>
        <w:rPr>
          <w:rFonts w:ascii="宋体" w:hAnsi="宋体" w:cs="宋体"/>
          <w:color w:val="000000"/>
          <w:sz w:val="24"/>
          <w:szCs w:val="24"/>
          <w:highlight w:val="none"/>
        </w:rPr>
      </w:pPr>
      <w:r>
        <w:rPr>
          <w:rFonts w:hint="eastAsia" w:ascii="宋体" w:hAnsi="宋体" w:cs="宋体"/>
          <w:color w:val="000000"/>
          <w:sz w:val="24"/>
          <w:szCs w:val="24"/>
          <w:highlight w:val="none"/>
        </w:rPr>
        <w:t>4.其他要求（包括采购标的需执行的国家相关标准、行业标准、地方标准或者其他标准、规范等）：</w:t>
      </w:r>
    </w:p>
    <w:p>
      <w:pPr>
        <w:rPr>
          <w:rFonts w:ascii="宋体" w:hAnsi="宋体" w:cs="宋体"/>
          <w:color w:val="000000"/>
          <w:sz w:val="24"/>
          <w:szCs w:val="24"/>
          <w:highlight w:val="none"/>
        </w:rPr>
      </w:pPr>
      <w:r>
        <w:rPr>
          <w:rFonts w:hint="eastAsia" w:ascii="宋体" w:hAnsi="宋体" w:cs="宋体"/>
          <w:bCs/>
          <w:sz w:val="24"/>
          <w:szCs w:val="24"/>
          <w:highlight w:val="none"/>
        </w:rPr>
        <w:t>★</w:t>
      </w:r>
      <w:r>
        <w:rPr>
          <w:rFonts w:hint="eastAsia" w:ascii="宋体" w:hAnsi="宋体" w:cs="宋体"/>
          <w:color w:val="000000"/>
          <w:sz w:val="24"/>
          <w:szCs w:val="24"/>
          <w:highlight w:val="none"/>
        </w:rPr>
        <w:t>4.1.供货行为与供货内容应符合《中华人民共和国食品安全法》</w:t>
      </w:r>
      <w:r>
        <w:rPr>
          <w:rFonts w:hint="eastAsia" w:ascii="宋体" w:hAnsi="宋体" w:cs="宋体"/>
          <w:color w:val="000000"/>
          <w:sz w:val="24"/>
          <w:szCs w:val="24"/>
          <w:highlight w:val="none"/>
          <w:lang w:val="en-US" w:eastAsia="zh-CN"/>
        </w:rPr>
        <w:t>及实施条例。</w:t>
      </w:r>
    </w:p>
    <w:p>
      <w:pPr>
        <w:rPr>
          <w:rFonts w:ascii="宋体" w:hAnsi="宋体" w:cs="宋体"/>
          <w:color w:val="000000"/>
          <w:sz w:val="24"/>
          <w:szCs w:val="24"/>
          <w:highlight w:val="none"/>
        </w:rPr>
      </w:pPr>
      <w:r>
        <w:rPr>
          <w:rFonts w:hint="eastAsia" w:ascii="宋体" w:hAnsi="宋体" w:cs="宋体"/>
          <w:bCs/>
          <w:sz w:val="24"/>
          <w:szCs w:val="24"/>
          <w:highlight w:val="none"/>
        </w:rPr>
        <w:t>★</w:t>
      </w:r>
      <w:r>
        <w:rPr>
          <w:rFonts w:hint="eastAsia" w:ascii="宋体" w:hAnsi="宋体" w:cs="宋体"/>
          <w:color w:val="000000"/>
          <w:sz w:val="24"/>
          <w:szCs w:val="24"/>
          <w:highlight w:val="none"/>
        </w:rPr>
        <w:t>4.2.所供食品应包含但不限于符合以下国家现行食品安全标准:</w:t>
      </w:r>
    </w:p>
    <w:p>
      <w:pPr>
        <w:rPr>
          <w:rFonts w:ascii="宋体" w:hAnsi="宋体" w:cs="宋体"/>
          <w:color w:val="000000"/>
          <w:sz w:val="24"/>
          <w:szCs w:val="24"/>
          <w:highlight w:val="none"/>
        </w:rPr>
      </w:pPr>
      <w:r>
        <w:rPr>
          <w:rFonts w:hint="eastAsia" w:ascii="宋体" w:hAnsi="宋体" w:cs="宋体"/>
          <w:color w:val="000000"/>
          <w:sz w:val="24"/>
          <w:szCs w:val="24"/>
          <w:highlight w:val="none"/>
        </w:rPr>
        <w:t>4.2.1.食品中真菌毒素限量应符合GB 2761-2017 《食品安全国家标准 食品中真菌毒素限量》相关规定。</w:t>
      </w:r>
    </w:p>
    <w:p>
      <w:pPr>
        <w:rPr>
          <w:rFonts w:ascii="宋体" w:hAnsi="宋体" w:cs="宋体"/>
          <w:color w:val="000000"/>
          <w:sz w:val="24"/>
          <w:szCs w:val="24"/>
          <w:highlight w:val="none"/>
        </w:rPr>
      </w:pPr>
      <w:r>
        <w:rPr>
          <w:rFonts w:hint="eastAsia" w:ascii="宋体" w:hAnsi="宋体" w:cs="宋体"/>
          <w:color w:val="000000"/>
          <w:sz w:val="24"/>
          <w:szCs w:val="24"/>
          <w:highlight w:val="none"/>
        </w:rPr>
        <w:t>4.2.2预包装食品应符合GB 7718-</w:t>
      </w:r>
      <w:r>
        <w:rPr>
          <w:rFonts w:hint="eastAsia" w:ascii="宋体" w:hAnsi="宋体" w:cs="宋体"/>
          <w:color w:val="000000"/>
          <w:sz w:val="24"/>
          <w:szCs w:val="24"/>
          <w:highlight w:val="none"/>
          <w:lang w:val="en-US" w:eastAsia="zh-CN"/>
        </w:rPr>
        <w:t>2011</w:t>
      </w:r>
      <w:r>
        <w:rPr>
          <w:rFonts w:hint="eastAsia" w:ascii="宋体" w:hAnsi="宋体" w:cs="宋体"/>
          <w:color w:val="000000"/>
          <w:sz w:val="24"/>
          <w:szCs w:val="24"/>
          <w:highlight w:val="none"/>
        </w:rPr>
        <w:t xml:space="preserve"> 《食品安全国家标准 预包装食品标签通则》</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GB2749-2015</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蛋与蛋制品</w:t>
      </w:r>
      <w:r>
        <w:rPr>
          <w:rFonts w:hint="eastAsia" w:ascii="宋体" w:hAnsi="宋体" w:cs="宋体"/>
          <w:color w:val="000000"/>
          <w:sz w:val="24"/>
          <w:szCs w:val="24"/>
          <w:highlight w:val="none"/>
          <w:lang w:eastAsia="zh-CN"/>
        </w:rPr>
        <w:t>》标准、</w:t>
      </w:r>
      <w:r>
        <w:rPr>
          <w:rFonts w:hint="eastAsia" w:ascii="宋体" w:hAnsi="宋体" w:cs="宋体"/>
          <w:color w:val="000000"/>
          <w:sz w:val="24"/>
          <w:szCs w:val="24"/>
          <w:highlight w:val="none"/>
          <w:lang w:val="en-US" w:eastAsia="zh-CN"/>
        </w:rPr>
        <w:t>GB2760-2024</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食品添加剂使用标准</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相关规定。</w:t>
      </w:r>
    </w:p>
    <w:p>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sz w:val="24"/>
          <w:szCs w:val="24"/>
          <w:highlight w:val="none"/>
        </w:rPr>
        <w:t>4.2.3.</w:t>
      </w:r>
      <w:r>
        <w:rPr>
          <w:rFonts w:hint="eastAsia" w:ascii="宋体" w:hAnsi="宋体" w:cs="宋体"/>
          <w:color w:val="000000" w:themeColor="text1"/>
          <w:sz w:val="24"/>
          <w:szCs w:val="24"/>
          <w:highlight w:val="none"/>
          <w:lang w:eastAsia="zh-CN"/>
          <w14:textFill>
            <w14:solidFill>
              <w14:schemeClr w14:val="tx1"/>
            </w14:solidFill>
          </w14:textFill>
        </w:rPr>
        <w:t>植物性食品</w:t>
      </w:r>
      <w:r>
        <w:rPr>
          <w:rFonts w:hint="eastAsia" w:ascii="宋体" w:hAnsi="宋体" w:cs="宋体"/>
          <w:color w:val="000000" w:themeColor="text1"/>
          <w:sz w:val="24"/>
          <w:szCs w:val="24"/>
          <w:highlight w:val="none"/>
          <w14:textFill>
            <w14:solidFill>
              <w14:schemeClr w14:val="tx1"/>
            </w14:solidFill>
          </w14:textFill>
        </w:rPr>
        <w:t>最大残留限</w:t>
      </w:r>
      <w:r>
        <w:rPr>
          <w:rFonts w:hint="eastAsia" w:ascii="宋体" w:hAnsi="宋体" w:cs="宋体"/>
          <w:color w:val="000000" w:themeColor="text1"/>
          <w:sz w:val="24"/>
          <w:szCs w:val="24"/>
          <w:highlight w:val="none"/>
          <w:lang w:val="en-US" w:eastAsia="zh-CN"/>
          <w14:textFill>
            <w14:solidFill>
              <w14:schemeClr w14:val="tx1"/>
            </w14:solidFill>
          </w14:textFill>
        </w:rPr>
        <w:t>量</w:t>
      </w:r>
      <w:r>
        <w:rPr>
          <w:rFonts w:hint="eastAsia" w:ascii="宋体" w:hAnsi="宋体" w:cs="宋体"/>
          <w:color w:val="000000" w:themeColor="text1"/>
          <w:sz w:val="24"/>
          <w:szCs w:val="24"/>
          <w:highlight w:val="none"/>
          <w14:textFill>
            <w14:solidFill>
              <w14:schemeClr w14:val="tx1"/>
            </w14:solidFill>
          </w14:textFill>
        </w:rPr>
        <w:t>应符合GB 2763-20</w:t>
      </w:r>
      <w:r>
        <w:rPr>
          <w:rFonts w:hint="eastAsia" w:ascii="宋体" w:hAnsi="宋体" w:cs="宋体"/>
          <w:color w:val="000000" w:themeColor="text1"/>
          <w:sz w:val="24"/>
          <w:szCs w:val="24"/>
          <w:highlight w:val="none"/>
          <w:lang w:val="en-US" w:eastAsia="zh-CN"/>
          <w14:textFill>
            <w14:solidFill>
              <w14:schemeClr w14:val="tx1"/>
            </w14:solidFill>
          </w14:textFill>
        </w:rPr>
        <w:t>21</w:t>
      </w:r>
      <w:r>
        <w:rPr>
          <w:rFonts w:hint="eastAsia" w:ascii="宋体" w:hAnsi="宋体" w:cs="宋体"/>
          <w:color w:val="000000" w:themeColor="text1"/>
          <w:sz w:val="24"/>
          <w:szCs w:val="24"/>
          <w:highlight w:val="none"/>
          <w14:textFill>
            <w14:solidFill>
              <w14:schemeClr w14:val="tx1"/>
            </w14:solidFill>
          </w14:textFill>
        </w:rPr>
        <w:t xml:space="preserve"> 《食品安全国家标准 食品中农药最大残留限量》相关规定。</w:t>
      </w:r>
    </w:p>
    <w:p>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4.2.</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动物性食品</w:t>
      </w:r>
      <w:r>
        <w:rPr>
          <w:rFonts w:hint="eastAsia" w:ascii="宋体" w:hAnsi="宋体" w:cs="宋体"/>
          <w:color w:val="000000" w:themeColor="text1"/>
          <w:sz w:val="24"/>
          <w:szCs w:val="24"/>
          <w:highlight w:val="none"/>
          <w14:textFill>
            <w14:solidFill>
              <w14:schemeClr w14:val="tx1"/>
            </w14:solidFill>
          </w14:textFill>
        </w:rPr>
        <w:t>中兽药最大残留限量应符合GB 31650-</w:t>
      </w:r>
      <w:r>
        <w:rPr>
          <w:rFonts w:hint="eastAsia" w:ascii="宋体" w:hAnsi="宋体" w:cs="宋体"/>
          <w:color w:val="000000" w:themeColor="text1"/>
          <w:sz w:val="24"/>
          <w:szCs w:val="24"/>
          <w:highlight w:val="none"/>
          <w:lang w:val="en-US" w:eastAsia="zh-CN"/>
          <w14:textFill>
            <w14:solidFill>
              <w14:schemeClr w14:val="tx1"/>
            </w14:solidFill>
          </w14:textFill>
        </w:rPr>
        <w:t>2022</w:t>
      </w:r>
      <w:r>
        <w:rPr>
          <w:rFonts w:hint="eastAsia" w:ascii="宋体" w:hAnsi="宋体" w:cs="宋体"/>
          <w:color w:val="000000" w:themeColor="text1"/>
          <w:sz w:val="24"/>
          <w:szCs w:val="24"/>
          <w:highlight w:val="none"/>
          <w14:textFill>
            <w14:solidFill>
              <w14:schemeClr w14:val="tx1"/>
            </w14:solidFill>
          </w14:textFill>
        </w:rPr>
        <w:t xml:space="preserve"> 《食品安全国家标准 食品中兽药最大残留限量》。</w:t>
      </w:r>
    </w:p>
    <w:p>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4.2.</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.以上法规标准如有变化时，按最新标准执行。</w:t>
      </w:r>
    </w:p>
    <w:p>
      <w:pPr>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5.日常食材配送的具体品种和数量，均以采购人下达的订单执行。</w:t>
      </w:r>
    </w:p>
    <w:p>
      <w:pP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bCs/>
          <w:sz w:val="24"/>
          <w:szCs w:val="24"/>
          <w:highlight w:val="none"/>
        </w:rPr>
        <w:t>★</w:t>
      </w:r>
      <w:r>
        <w:rPr>
          <w:rFonts w:hint="eastAsia" w:ascii="宋体" w:hAnsi="宋体" w:cs="宋体"/>
          <w:color w:val="000000" w:themeColor="text1"/>
          <w:sz w:val="24"/>
          <w:szCs w:val="24"/>
          <w:highlight w:val="none"/>
          <w:lang w:val="en-US" w:eastAsia="zh-CN"/>
          <w14:textFill>
            <w14:solidFill>
              <w14:schemeClr w14:val="tx1"/>
            </w14:solidFill>
          </w14:textFill>
        </w:rPr>
        <w:t>6.定价方式：</w:t>
      </w:r>
    </w:p>
    <w:p>
      <w:pP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6.1.</w:t>
      </w:r>
      <w:r>
        <w:rPr>
          <w:rFonts w:hint="eastAsia" w:ascii="宋体" w:hAnsi="宋体" w:cs="宋体"/>
          <w:color w:val="000000" w:themeColor="text1"/>
          <w:sz w:val="24"/>
          <w:szCs w:val="24"/>
          <w:highlight w:val="none"/>
          <w14:textFill>
            <w14:solidFill>
              <w14:schemeClr w14:val="tx1"/>
            </w14:solidFill>
          </w14:textFill>
        </w:rPr>
        <w:t>本项目</w:t>
      </w:r>
      <w:r>
        <w:rPr>
          <w:rFonts w:hint="eastAsia" w:ascii="宋体" w:hAnsi="宋体" w:cs="宋体"/>
          <w:color w:val="000000" w:themeColor="text1"/>
          <w:sz w:val="24"/>
          <w:szCs w:val="24"/>
          <w:highlight w:val="none"/>
          <w:lang w:val="en-US" w:eastAsia="zh-CN"/>
          <w14:textFill>
            <w14:solidFill>
              <w14:schemeClr w14:val="tx1"/>
            </w14:solidFill>
          </w14:textFill>
        </w:rPr>
        <w:t>供应商统一以结算率</w:t>
      </w:r>
      <w:r>
        <w:rPr>
          <w:rFonts w:hint="eastAsia" w:ascii="宋体" w:hAnsi="宋体" w:cs="宋体"/>
          <w:color w:val="000000" w:themeColor="text1"/>
          <w:sz w:val="24"/>
          <w:szCs w:val="24"/>
          <w:highlight w:val="none"/>
          <w14:textFill>
            <w14:solidFill>
              <w14:schemeClr w14:val="tx1"/>
            </w14:solidFill>
          </w14:textFill>
        </w:rPr>
        <w:t>报价</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以百分比表示，</w:t>
      </w:r>
      <w:r>
        <w:rPr>
          <w:rFonts w:hint="eastAsia" w:ascii="宋体" w:hAnsi="宋体" w:cs="宋体"/>
          <w:color w:val="000000" w:themeColor="text1"/>
          <w:sz w:val="24"/>
          <w:szCs w:val="24"/>
          <w:highlight w:val="none"/>
          <w14:textFill>
            <w14:solidFill>
              <w14:schemeClr w14:val="tx1"/>
            </w14:solidFill>
          </w14:textFill>
        </w:rPr>
        <w:t>百分比精确到小数点后两位)</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结算</w:t>
      </w:r>
      <w:r>
        <w:rPr>
          <w:rFonts w:hint="eastAsia" w:ascii="宋体" w:hAnsi="宋体" w:cs="宋体"/>
          <w:color w:val="000000" w:themeColor="text1"/>
          <w:sz w:val="24"/>
          <w:szCs w:val="24"/>
          <w:highlight w:val="none"/>
          <w14:textFill>
            <w14:solidFill>
              <w14:schemeClr w14:val="tx1"/>
            </w14:solidFill>
          </w14:textFill>
        </w:rPr>
        <w:t>率存在负数、超过百分之百或有多个报价（</w:t>
      </w:r>
      <w:r>
        <w:rPr>
          <w:rFonts w:hint="eastAsia" w:ascii="宋体" w:hAnsi="宋体" w:cs="宋体"/>
          <w:color w:val="000000" w:themeColor="text1"/>
          <w:sz w:val="24"/>
          <w:szCs w:val="24"/>
          <w:highlight w:val="none"/>
          <w:lang w:val="en-US" w:eastAsia="zh-CN"/>
          <w14:textFill>
            <w14:solidFill>
              <w14:schemeClr w14:val="tx1"/>
            </w14:solidFill>
          </w14:textFill>
        </w:rPr>
        <w:t>结算</w:t>
      </w:r>
      <w:r>
        <w:rPr>
          <w:rFonts w:hint="eastAsia" w:ascii="宋体" w:hAnsi="宋体" w:cs="宋体"/>
          <w:color w:val="000000" w:themeColor="text1"/>
          <w:sz w:val="24"/>
          <w:szCs w:val="24"/>
          <w:highlight w:val="none"/>
          <w14:textFill>
            <w14:solidFill>
              <w14:schemeClr w14:val="tx1"/>
            </w14:solidFill>
          </w14:textFill>
        </w:rPr>
        <w:t>率）的情形，投标文件按无效处理。</w:t>
      </w:r>
      <w:r>
        <w:rPr>
          <w:rFonts w:hint="eastAsia" w:ascii="宋体" w:hAnsi="宋体" w:cs="宋体"/>
          <w:color w:val="000000" w:themeColor="text1"/>
          <w:sz w:val="24"/>
          <w:szCs w:val="24"/>
          <w:highlight w:val="none"/>
          <w:lang w:val="en-US" w:eastAsia="zh-CN"/>
          <w14:textFill>
            <w14:solidFill>
              <w14:schemeClr w14:val="tx1"/>
            </w14:solidFill>
          </w14:textFill>
        </w:rPr>
        <w:t>供应商的报价是响应本项目要求的全部工作内容的价格体现，包括供应商完成本项目所需的人工劳务、货物成本、包装、运输、装卸、保险以及</w:t>
      </w:r>
      <w:r>
        <w:rPr>
          <w:rFonts w:hint="eastAsia" w:ascii="宋体" w:hAnsi="宋体" w:cs="宋体"/>
          <w:color w:val="000000" w:themeColor="text1"/>
          <w:sz w:val="24"/>
          <w:szCs w:val="24"/>
          <w:highlight w:val="none"/>
          <w14:textFill>
            <w14:solidFill>
              <w14:schemeClr w14:val="tx1"/>
            </w14:solidFill>
          </w14:textFill>
        </w:rPr>
        <w:t>合同实施过程可预见及不可预见费用等</w:t>
      </w:r>
      <w:r>
        <w:rPr>
          <w:rFonts w:hint="eastAsia" w:ascii="宋体" w:hAnsi="宋体" w:cs="宋体"/>
          <w:color w:val="000000" w:themeColor="text1"/>
          <w:sz w:val="24"/>
          <w:szCs w:val="24"/>
          <w:highlight w:val="none"/>
          <w:lang w:val="en-US" w:eastAsia="zh-CN"/>
          <w14:textFill>
            <w14:solidFill>
              <w14:schemeClr w14:val="tx1"/>
            </w14:solidFill>
          </w14:textFill>
        </w:rPr>
        <w:t>一切成本和费用。</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6.2.</w:t>
      </w:r>
      <w:r>
        <w:rPr>
          <w:rFonts w:hint="eastAsia" w:ascii="宋体" w:hAnsi="宋体" w:cs="宋体"/>
          <w:color w:val="000000" w:themeColor="text1"/>
          <w:sz w:val="24"/>
          <w:szCs w:val="24"/>
          <w:highlight w:val="none"/>
          <w14:textFill>
            <w14:solidFill>
              <w14:schemeClr w14:val="tx1"/>
            </w14:solidFill>
          </w14:textFill>
        </w:rPr>
        <w:t>结算价的确定：结算价=供货基准价*</w:t>
      </w:r>
      <w:r>
        <w:rPr>
          <w:rFonts w:hint="eastAsia" w:ascii="宋体" w:hAnsi="宋体" w:cs="宋体"/>
          <w:color w:val="000000" w:themeColor="text1"/>
          <w:sz w:val="24"/>
          <w:szCs w:val="24"/>
          <w:highlight w:val="none"/>
          <w:lang w:val="en-US" w:eastAsia="zh-CN"/>
          <w14:textFill>
            <w14:solidFill>
              <w14:schemeClr w14:val="tx1"/>
            </w14:solidFill>
          </w14:textFill>
        </w:rPr>
        <w:t>结算</w:t>
      </w:r>
      <w:r>
        <w:rPr>
          <w:rFonts w:hint="eastAsia" w:ascii="宋体" w:hAnsi="宋体" w:cs="宋体"/>
          <w:color w:val="000000" w:themeColor="text1"/>
          <w:sz w:val="24"/>
          <w:szCs w:val="24"/>
          <w:highlight w:val="none"/>
          <w14:textFill>
            <w14:solidFill>
              <w14:schemeClr w14:val="tx1"/>
            </w14:solidFill>
          </w14:textFill>
        </w:rPr>
        <w:t>率</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计算结果按四舍五入处理，保留两位小数</w:t>
      </w:r>
      <w:r>
        <w:rPr>
          <w:rFonts w:hint="eastAsia" w:ascii="宋体" w:hAnsi="宋体" w:cs="宋体"/>
          <w:color w:val="000000" w:themeColor="text1"/>
          <w:sz w:val="24"/>
          <w:szCs w:val="24"/>
          <w:highlight w:val="none"/>
          <w:lang w:eastAsia="zh-CN"/>
          <w14:textFill>
            <w14:solidFill>
              <w14:schemeClr w14:val="tx1"/>
            </w14:solidFill>
          </w14:textFill>
        </w:rPr>
        <w:t>）</w:t>
      </w:r>
    </w:p>
    <w:p>
      <w:pPr>
        <w:keepNext w:val="0"/>
        <w:keepLines w:val="0"/>
        <w:widowControl/>
        <w:suppressLineNumbers w:val="0"/>
        <w:jc w:val="left"/>
        <w:textAlignment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举例说明：假设采购人采购抄手，依据双方确定的基准价16.70元/斤，若中标率为90%，则结算价计算如下：16.70 *90% =15.03元/斤。</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sz w:val="24"/>
          <w:szCs w:val="24"/>
          <w:highlight w:val="none"/>
          <w:lang w:val="en-US" w:eastAsia="zh-CN"/>
        </w:rPr>
        <w:t>6.3.供</w:t>
      </w:r>
      <w:r>
        <w:rPr>
          <w:rFonts w:hint="eastAsia" w:ascii="宋体" w:hAnsi="宋体" w:cs="宋体"/>
          <w:color w:val="000000" w:themeColor="text1"/>
          <w:sz w:val="24"/>
          <w:szCs w:val="24"/>
          <w:highlight w:val="none"/>
          <w14:textFill>
            <w14:solidFill>
              <w14:schemeClr w14:val="tx1"/>
            </w14:solidFill>
          </w14:textFill>
        </w:rPr>
        <w:t>货基准价的确定：</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sz w:val="24"/>
          <w:szCs w:val="24"/>
          <w:highlight w:val="none"/>
          <w:lang w:val="en-US" w:eastAsia="zh-CN"/>
        </w:rPr>
        <w:t>6.3.1.</w:t>
      </w:r>
      <w:r>
        <w:rPr>
          <w:rFonts w:hint="eastAsia" w:ascii="宋体" w:hAnsi="宋体" w:cs="宋体"/>
          <w:color w:val="000000" w:themeColor="text1"/>
          <w:sz w:val="24"/>
          <w:szCs w:val="24"/>
          <w:highlight w:val="none"/>
          <w14:textFill>
            <w14:solidFill>
              <w14:schemeClr w14:val="tx1"/>
            </w14:solidFill>
          </w14:textFill>
        </w:rPr>
        <w:t>货物价格以</w:t>
      </w:r>
      <w:r>
        <w:rPr>
          <w:rFonts w:hint="eastAsia" w:ascii="宋体" w:hAnsi="宋体" w:cs="宋体"/>
          <w:color w:val="000000" w:themeColor="text1"/>
          <w:sz w:val="24"/>
          <w:szCs w:val="24"/>
          <w:highlight w:val="none"/>
          <w:lang w:eastAsia="zh-CN"/>
          <w14:textFill>
            <w14:solidFill>
              <w14:schemeClr w14:val="tx1"/>
            </w14:solidFill>
          </w14:textFill>
        </w:rPr>
        <w:t>成都市</w:t>
      </w:r>
      <w:r>
        <w:rPr>
          <w:rFonts w:hint="eastAsia" w:ascii="宋体" w:hAnsi="宋体" w:cs="宋体"/>
          <w:color w:val="000000" w:themeColor="text1"/>
          <w:sz w:val="24"/>
          <w:szCs w:val="24"/>
          <w:highlight w:val="none"/>
          <w14:textFill>
            <w14:solidFill>
              <w14:schemeClr w14:val="tx1"/>
            </w14:solidFill>
          </w14:textFill>
        </w:rPr>
        <w:t>发改委每月首次发布的《</w:t>
      </w:r>
      <w:r>
        <w:rPr>
          <w:rFonts w:hint="eastAsia" w:ascii="宋体" w:hAnsi="宋体" w:cs="宋体"/>
          <w:color w:val="000000" w:themeColor="text1"/>
          <w:sz w:val="24"/>
          <w:szCs w:val="24"/>
          <w:highlight w:val="none"/>
          <w:lang w:eastAsia="zh-CN"/>
          <w14:textFill>
            <w14:solidFill>
              <w14:schemeClr w14:val="tx1"/>
            </w14:solidFill>
          </w14:textFill>
        </w:rPr>
        <w:t>成都市发展和改革委员会-</w:t>
      </w:r>
      <w:r>
        <w:rPr>
          <w:rFonts w:hint="eastAsia" w:ascii="宋体" w:hAnsi="宋体" w:cs="宋体"/>
          <w:color w:val="000000" w:themeColor="text1"/>
          <w:sz w:val="24"/>
          <w:szCs w:val="24"/>
          <w:highlight w:val="none"/>
          <w:lang w:val="en-US" w:eastAsia="zh-CN"/>
          <w14:textFill>
            <w14:solidFill>
              <w14:schemeClr w14:val="tx1"/>
            </w14:solidFill>
          </w14:textFill>
        </w:rPr>
        <w:t>价格和收费信息公开-中心城区部分农贸市场价格</w:t>
      </w:r>
      <w:r>
        <w:rPr>
          <w:rFonts w:hint="eastAsia" w:ascii="宋体" w:hAnsi="宋体" w:cs="宋体"/>
          <w:color w:val="000000" w:themeColor="text1"/>
          <w:sz w:val="24"/>
          <w:szCs w:val="24"/>
          <w:highlight w:val="none"/>
          <w14:textFill>
            <w14:solidFill>
              <w14:schemeClr w14:val="tx1"/>
            </w14:solidFill>
          </w14:textFill>
        </w:rPr>
        <w:t>》作为基准价参考。</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sz w:val="24"/>
          <w:szCs w:val="24"/>
          <w:highlight w:val="none"/>
          <w:lang w:val="en-US" w:eastAsia="zh-CN"/>
        </w:rPr>
        <w:t>6.3.2.</w:t>
      </w:r>
      <w:r>
        <w:rPr>
          <w:rFonts w:hint="eastAsia" w:ascii="宋体" w:hAnsi="宋体" w:cs="宋体"/>
          <w:color w:val="000000" w:themeColor="text1"/>
          <w:sz w:val="24"/>
          <w:szCs w:val="24"/>
          <w:highlight w:val="none"/>
          <w14:textFill>
            <w14:solidFill>
              <w14:schemeClr w14:val="tx1"/>
            </w14:solidFill>
          </w14:textFill>
        </w:rPr>
        <w:t>所供货物不在《</w:t>
      </w:r>
      <w:r>
        <w:rPr>
          <w:rFonts w:hint="eastAsia" w:ascii="宋体" w:hAnsi="宋体" w:cs="宋体"/>
          <w:color w:val="000000" w:themeColor="text1"/>
          <w:sz w:val="24"/>
          <w:szCs w:val="24"/>
          <w:highlight w:val="none"/>
          <w:lang w:eastAsia="zh-CN"/>
          <w14:textFill>
            <w14:solidFill>
              <w14:schemeClr w14:val="tx1"/>
            </w14:solidFill>
          </w14:textFill>
        </w:rPr>
        <w:t>成都市发展和改革委员会-</w:t>
      </w:r>
      <w:r>
        <w:rPr>
          <w:rFonts w:hint="eastAsia" w:ascii="宋体" w:hAnsi="宋体" w:cs="宋体"/>
          <w:color w:val="000000" w:themeColor="text1"/>
          <w:sz w:val="24"/>
          <w:szCs w:val="24"/>
          <w:highlight w:val="none"/>
          <w:lang w:val="en-US" w:eastAsia="zh-CN"/>
          <w14:textFill>
            <w14:solidFill>
              <w14:schemeClr w14:val="tx1"/>
            </w14:solidFill>
          </w14:textFill>
        </w:rPr>
        <w:t>价格和收费信息公开-中心城区部分农贸市场价格</w:t>
      </w:r>
      <w:r>
        <w:rPr>
          <w:rFonts w:hint="eastAsia" w:ascii="宋体" w:hAnsi="宋体" w:cs="宋体"/>
          <w:color w:val="000000" w:themeColor="text1"/>
          <w:sz w:val="24"/>
          <w:szCs w:val="24"/>
          <w:highlight w:val="none"/>
          <w14:textFill>
            <w14:solidFill>
              <w14:schemeClr w14:val="tx1"/>
            </w14:solidFill>
          </w14:textFill>
        </w:rPr>
        <w:t>》内的，首先参照</w:t>
      </w:r>
      <w:r>
        <w:rPr>
          <w:rFonts w:hint="eastAsia" w:ascii="宋体" w:hAnsi="宋体" w:cs="宋体"/>
          <w:color w:val="000000" w:themeColor="text1"/>
          <w:sz w:val="24"/>
          <w:szCs w:val="24"/>
          <w:highlight w:val="none"/>
          <w:lang w:eastAsia="zh-CN"/>
          <w14:textFill>
            <w14:solidFill>
              <w14:schemeClr w14:val="tx1"/>
            </w14:solidFill>
          </w14:textFill>
        </w:rPr>
        <w:t>《成都市城市居民生活价格服务公益平台》</w:t>
      </w:r>
      <w:r>
        <w:rPr>
          <w:rFonts w:hint="eastAsia" w:ascii="宋体" w:hAnsi="宋体" w:cs="宋体"/>
          <w:color w:val="000000" w:themeColor="text1"/>
          <w:sz w:val="24"/>
          <w:szCs w:val="24"/>
          <w:highlight w:val="none"/>
          <w:lang w:val="en-US" w:eastAsia="zh-CN"/>
          <w14:textFill>
            <w14:solidFill>
              <w14:schemeClr w14:val="tx1"/>
            </w14:solidFill>
          </w14:textFill>
        </w:rPr>
        <w:t>发布</w:t>
      </w:r>
      <w:r>
        <w:rPr>
          <w:rFonts w:hint="eastAsia" w:ascii="宋体" w:hAnsi="宋体" w:cs="宋体"/>
          <w:color w:val="000000" w:themeColor="text1"/>
          <w:sz w:val="24"/>
          <w:szCs w:val="24"/>
          <w:highlight w:val="none"/>
          <w14:textFill>
            <w14:solidFill>
              <w14:schemeClr w14:val="tx1"/>
            </w14:solidFill>
          </w14:textFill>
        </w:rPr>
        <w:t>的市场平均价作为基准价。</w:t>
      </w: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sz w:val="24"/>
          <w:szCs w:val="24"/>
          <w:highlight w:val="none"/>
          <w:lang w:val="en-US" w:eastAsia="zh-CN"/>
        </w:rPr>
        <w:t>6.3.3.</w:t>
      </w:r>
      <w:r>
        <w:rPr>
          <w:rFonts w:hint="eastAsia" w:ascii="宋体" w:hAnsi="宋体" w:cs="宋体"/>
          <w:color w:val="000000" w:themeColor="text1"/>
          <w:sz w:val="24"/>
          <w:szCs w:val="24"/>
          <w:highlight w:val="none"/>
          <w14:textFill>
            <w14:solidFill>
              <w14:schemeClr w14:val="tx1"/>
            </w14:solidFill>
          </w14:textFill>
        </w:rPr>
        <w:t>如果采购货物未在</w:t>
      </w:r>
      <w:r>
        <w:rPr>
          <w:rFonts w:hint="eastAsia" w:ascii="宋体" w:hAnsi="宋体" w:cs="宋体"/>
          <w:color w:val="000000" w:themeColor="text1"/>
          <w:sz w:val="24"/>
          <w:szCs w:val="24"/>
          <w:highlight w:val="none"/>
          <w:lang w:eastAsia="zh-CN"/>
          <w14:textFill>
            <w14:solidFill>
              <w14:schemeClr w14:val="tx1"/>
            </w14:solidFill>
          </w14:textFill>
        </w:rPr>
        <w:t>《成都市城市居民生活价格服务</w:t>
      </w:r>
      <w:r>
        <w:rPr>
          <w:rFonts w:hint="eastAsia" w:ascii="宋体" w:hAnsi="宋体" w:cs="宋体"/>
          <w:color w:val="000000" w:themeColor="text1"/>
          <w:sz w:val="24"/>
          <w:szCs w:val="24"/>
          <w:highlight w:val="none"/>
          <w:lang w:val="en-US" w:eastAsia="zh-CN"/>
          <w14:textFill>
            <w14:solidFill>
              <w14:schemeClr w14:val="tx1"/>
            </w14:solidFill>
          </w14:textFill>
        </w:rPr>
        <w:t>公益</w:t>
      </w:r>
      <w:r>
        <w:rPr>
          <w:rFonts w:hint="eastAsia" w:ascii="宋体" w:hAnsi="宋体" w:cs="宋体"/>
          <w:color w:val="000000" w:themeColor="text1"/>
          <w:sz w:val="24"/>
          <w:szCs w:val="24"/>
          <w:highlight w:val="none"/>
          <w:lang w:eastAsia="zh-CN"/>
          <w14:textFill>
            <w14:solidFill>
              <w14:schemeClr w14:val="tx1"/>
            </w14:solidFill>
          </w14:textFill>
        </w:rPr>
        <w:t>平台》</w:t>
      </w:r>
      <w:r>
        <w:rPr>
          <w:rFonts w:hint="eastAsia" w:ascii="宋体" w:hAnsi="宋体" w:cs="宋体"/>
          <w:color w:val="000000" w:themeColor="text1"/>
          <w:sz w:val="24"/>
          <w:szCs w:val="24"/>
          <w:highlight w:val="none"/>
          <w:lang w:val="en-US" w:eastAsia="zh-CN"/>
          <w14:textFill>
            <w14:solidFill>
              <w14:schemeClr w14:val="tx1"/>
            </w14:solidFill>
          </w14:textFill>
        </w:rPr>
        <w:t>内的</w:t>
      </w:r>
      <w:r>
        <w:rPr>
          <w:rFonts w:hint="eastAsia" w:ascii="宋体" w:hAnsi="宋体" w:cs="宋体"/>
          <w:color w:val="000000" w:themeColor="text1"/>
          <w:sz w:val="24"/>
          <w:szCs w:val="24"/>
          <w:highlight w:val="none"/>
          <w14:textFill>
            <w14:solidFill>
              <w14:schemeClr w14:val="tx1"/>
            </w14:solidFill>
          </w14:textFill>
        </w:rPr>
        <w:t>，则在项目所在地就近的综合市场或大型超市进行联合采价作为基准价（每次采价由院方随机抽取），</w:t>
      </w:r>
      <w:r>
        <w:rPr>
          <w:rFonts w:hint="eastAsia" w:ascii="宋体" w:hAnsi="宋体" w:cs="宋体"/>
          <w:color w:val="000000"/>
          <w:sz w:val="24"/>
          <w:szCs w:val="24"/>
          <w:highlight w:val="none"/>
          <w:lang w:val="en-US" w:eastAsia="zh-CN"/>
        </w:rPr>
        <w:t>基准价为该市场的常规零售标价，临时性、短期性促销价格（如店庆、限时特价）、会员专享价、破损或临期商品处理等非正常售价，不作为基准价，采购结果应由采购方、供应方共同签字确认。</w:t>
      </w:r>
    </w:p>
    <w:p>
      <w:pPr>
        <w:pStyle w:val="2"/>
        <w:rPr>
          <w:rFonts w:hint="eastAsia"/>
          <w:highlight w:val="none"/>
          <w:lang w:val="en-US" w:eastAsia="zh-CN"/>
        </w:rPr>
      </w:pPr>
      <w:r>
        <w:rPr>
          <w:rFonts w:hint="eastAsia" w:ascii="宋体" w:hAnsi="宋体" w:cs="宋体"/>
          <w:color w:val="000000" w:themeColor="text1"/>
          <w:sz w:val="24"/>
          <w:szCs w:val="24"/>
          <w:highlight w:val="none"/>
          <w:lang w:val="en-US" w:eastAsia="zh-CN"/>
          <w14:textFill>
            <w14:solidFill>
              <w14:schemeClr w14:val="tx1"/>
            </w14:solidFill>
          </w14:textFill>
        </w:rPr>
        <w:t>6.3.4.</w:t>
      </w:r>
      <w:r>
        <w:rPr>
          <w:rFonts w:hint="eastAsia" w:ascii="宋体" w:hAnsi="宋体" w:cs="宋体"/>
          <w:color w:val="000000" w:themeColor="text1"/>
          <w:sz w:val="24"/>
          <w:szCs w:val="24"/>
          <w:highlight w:val="none"/>
          <w14:textFill>
            <w14:solidFill>
              <w14:schemeClr w14:val="tx1"/>
            </w14:solidFill>
          </w14:textFill>
        </w:rPr>
        <w:t>该项目采价周期为每</w:t>
      </w:r>
      <w:r>
        <w:rPr>
          <w:rFonts w:hint="eastAsia" w:hAnsi="宋体" w:cs="宋体"/>
          <w:color w:val="000000" w:themeColor="text1"/>
          <w:sz w:val="24"/>
          <w:szCs w:val="24"/>
          <w:highlight w:val="none"/>
          <w:lang w:val="en-US" w:eastAsia="zh-CN"/>
          <w14:textFill>
            <w14:solidFill>
              <w14:schemeClr w14:val="tx1"/>
            </w14:solidFill>
          </w14:textFill>
        </w:rPr>
        <w:t>季度</w:t>
      </w:r>
      <w:r>
        <w:rPr>
          <w:rFonts w:hint="eastAsia" w:ascii="宋体" w:hAnsi="宋体" w:cs="宋体"/>
          <w:color w:val="000000" w:themeColor="text1"/>
          <w:sz w:val="24"/>
          <w:szCs w:val="24"/>
          <w:highlight w:val="none"/>
          <w14:textFill>
            <w14:solidFill>
              <w14:schemeClr w14:val="tx1"/>
            </w14:solidFill>
          </w14:textFill>
        </w:rPr>
        <w:t>一次。</w:t>
      </w:r>
    </w:p>
    <w:p>
      <w:pPr>
        <w:rPr>
          <w:rFonts w:hint="eastAsia" w:ascii="宋体" w:hAnsi="宋体" w:cs="宋体"/>
          <w:color w:val="000000"/>
          <w:sz w:val="24"/>
          <w:szCs w:val="24"/>
          <w:highlight w:val="none"/>
        </w:rPr>
      </w:pPr>
      <w:r>
        <w:rPr>
          <w:rFonts w:hint="eastAsia" w:ascii="宋体" w:hAnsi="宋体" w:cs="宋体"/>
          <w:color w:val="000000"/>
          <w:sz w:val="24"/>
          <w:szCs w:val="24"/>
          <w:highlight w:val="none"/>
        </w:rPr>
        <w:t>7.所供货物应能在政府指定的食品溯源系统进行有效溯源。</w:t>
      </w:r>
    </w:p>
    <w:p>
      <w:pPr>
        <w:numPr>
          <w:ilvl w:val="0"/>
          <w:numId w:val="0"/>
        </w:numPr>
        <w:rPr>
          <w:rFonts w:hint="eastAsia" w:ascii="宋体" w:hAnsi="宋体" w:cs="宋体"/>
          <w:color w:val="000000"/>
          <w:sz w:val="24"/>
          <w:szCs w:val="24"/>
          <w:highlight w:val="none"/>
        </w:rPr>
      </w:pPr>
      <w:r>
        <w:rPr>
          <w:rFonts w:hint="eastAsia" w:ascii="宋体" w:hAnsi="宋体" w:cs="宋体"/>
          <w:sz w:val="24"/>
          <w:szCs w:val="24"/>
          <w:highlight w:val="none"/>
          <w:lang w:val="en-US" w:eastAsia="zh-CN"/>
        </w:rPr>
        <w:t>8.</w:t>
      </w:r>
      <w:r>
        <w:rPr>
          <w:rFonts w:ascii="宋体" w:hAnsi="宋体" w:eastAsia="宋体" w:cs="宋体"/>
          <w:sz w:val="24"/>
          <w:szCs w:val="24"/>
          <w:highlight w:val="none"/>
        </w:rPr>
        <w:t>服务期限</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本项目服务期限</w:t>
      </w:r>
      <w:r>
        <w:rPr>
          <w:rFonts w:hint="eastAsia" w:ascii="宋体" w:hAnsi="宋体" w:cs="宋体"/>
          <w:sz w:val="24"/>
          <w:szCs w:val="24"/>
          <w:highlight w:val="none"/>
          <w:lang w:val="en-US" w:eastAsia="zh-CN"/>
        </w:rPr>
        <w:t>3</w:t>
      </w:r>
      <w:r>
        <w:rPr>
          <w:rFonts w:ascii="宋体" w:hAnsi="宋体" w:eastAsia="宋体" w:cs="宋体"/>
          <w:sz w:val="24"/>
          <w:szCs w:val="24"/>
          <w:highlight w:val="none"/>
        </w:rPr>
        <w:t>年，合同一年一签。经</w:t>
      </w:r>
      <w:r>
        <w:rPr>
          <w:rFonts w:hint="eastAsia" w:ascii="宋体" w:hAnsi="宋体" w:eastAsia="宋体" w:cs="宋体"/>
          <w:sz w:val="24"/>
          <w:szCs w:val="24"/>
          <w:highlight w:val="none"/>
          <w:lang w:val="en-US" w:eastAsia="zh-CN"/>
        </w:rPr>
        <w:t>采购</w:t>
      </w:r>
      <w:r>
        <w:rPr>
          <w:rFonts w:ascii="宋体" w:hAnsi="宋体" w:eastAsia="宋体" w:cs="宋体"/>
          <w:sz w:val="24"/>
          <w:szCs w:val="24"/>
          <w:highlight w:val="none"/>
        </w:rPr>
        <w:t>方年度考核</w:t>
      </w:r>
      <w:r>
        <w:rPr>
          <w:rFonts w:hint="eastAsia" w:ascii="宋体" w:hAnsi="宋体" w:cs="宋体"/>
          <w:sz w:val="24"/>
          <w:szCs w:val="24"/>
          <w:highlight w:val="none"/>
          <w:lang w:val="en-US" w:eastAsia="zh-CN"/>
        </w:rPr>
        <w:t>半成品</w:t>
      </w:r>
      <w:r>
        <w:rPr>
          <w:rFonts w:ascii="宋体" w:hAnsi="宋体" w:eastAsia="宋体" w:cs="宋体"/>
          <w:sz w:val="24"/>
          <w:szCs w:val="24"/>
          <w:highlight w:val="none"/>
        </w:rPr>
        <w:t>供应服务合格（不合格为一个合同年度内累计三个月考核低于</w:t>
      </w:r>
      <w:r>
        <w:rPr>
          <w:rFonts w:hint="eastAsia" w:ascii="宋体" w:hAnsi="宋体" w:cs="宋体"/>
          <w:sz w:val="24"/>
          <w:szCs w:val="24"/>
          <w:highlight w:val="none"/>
          <w:lang w:val="en-US" w:eastAsia="zh-CN"/>
        </w:rPr>
        <w:t>85</w:t>
      </w:r>
      <w:r>
        <w:rPr>
          <w:rFonts w:ascii="宋体" w:hAnsi="宋体" w:eastAsia="宋体" w:cs="宋体"/>
          <w:sz w:val="24"/>
          <w:szCs w:val="24"/>
          <w:highlight w:val="none"/>
        </w:rPr>
        <w:t>分）,方可续签下一年度合同。</w:t>
      </w:r>
    </w:p>
    <w:p>
      <w:pPr>
        <w:pStyle w:val="2"/>
        <w:rPr>
          <w:rFonts w:hint="eastAsia"/>
        </w:rPr>
      </w:pPr>
    </w:p>
    <w:p>
      <w:pPr>
        <w:pStyle w:val="2"/>
        <w:rPr>
          <w:lang w:val="zh-CN"/>
        </w:rPr>
      </w:pPr>
      <w:bookmarkStart w:id="0" w:name="_GoBack"/>
      <w:bookmarkEnd w:id="0"/>
    </w:p>
    <w:p>
      <w:pPr>
        <w:rPr>
          <w:sz w:val="24"/>
          <w:szCs w:val="24"/>
          <w:highlight w:val="none"/>
        </w:rPr>
      </w:pPr>
    </w:p>
    <w:sectPr>
      <w:footerReference r:id="rId3" w:type="default"/>
      <w:pgSz w:w="11906" w:h="16838"/>
      <w:pgMar w:top="1440" w:right="1080" w:bottom="1440" w:left="108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Style w:val="13"/>
                            </w:rPr>
                          </w:pPr>
                          <w:r>
                            <w:fldChar w:fldCharType="begin"/>
                          </w:r>
                          <w:r>
                            <w:rPr>
                              <w:rStyle w:val="13"/>
                            </w:rPr>
                            <w:instrText xml:space="preserve">PAGE  </w:instrText>
                          </w:r>
                          <w:r>
                            <w:fldChar w:fldCharType="separate"/>
                          </w:r>
                          <w:r>
                            <w:rPr>
                              <w:rStyle w:val="13"/>
                            </w:rP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rPr>
                        <w:rStyle w:val="13"/>
                      </w:rPr>
                    </w:pPr>
                    <w:r>
                      <w:fldChar w:fldCharType="begin"/>
                    </w:r>
                    <w:r>
                      <w:rPr>
                        <w:rStyle w:val="13"/>
                      </w:rPr>
                      <w:instrText xml:space="preserve">PAGE  </w:instrText>
                    </w:r>
                    <w:r>
                      <w:fldChar w:fldCharType="separate"/>
                    </w:r>
                    <w:r>
                      <w:rPr>
                        <w:rStyle w:val="13"/>
                      </w:rPr>
                      <w:t>14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A95C9"/>
    <w:multiLevelType w:val="singleLevel"/>
    <w:tmpl w:val="85FA95C9"/>
    <w:lvl w:ilvl="0" w:tentative="0">
      <w:start w:val="1"/>
      <w:numFmt w:val="decimal"/>
      <w:suff w:val="nothing"/>
      <w:lvlText w:val="（%1）"/>
      <w:lvlJc w:val="left"/>
    </w:lvl>
  </w:abstractNum>
  <w:abstractNum w:abstractNumId="1">
    <w:nsid w:val="97FBD188"/>
    <w:multiLevelType w:val="singleLevel"/>
    <w:tmpl w:val="97FBD188"/>
    <w:lvl w:ilvl="0" w:tentative="0">
      <w:start w:val="1"/>
      <w:numFmt w:val="decimal"/>
      <w:suff w:val="nothing"/>
      <w:lvlText w:val="（%1）"/>
      <w:lvlJc w:val="left"/>
    </w:lvl>
  </w:abstractNum>
  <w:abstractNum w:abstractNumId="2">
    <w:nsid w:val="9FA2D3BA"/>
    <w:multiLevelType w:val="singleLevel"/>
    <w:tmpl w:val="9FA2D3BA"/>
    <w:lvl w:ilvl="0" w:tentative="0">
      <w:start w:val="1"/>
      <w:numFmt w:val="decimal"/>
      <w:suff w:val="nothing"/>
      <w:lvlText w:val="（%1）"/>
      <w:lvlJc w:val="left"/>
    </w:lvl>
  </w:abstractNum>
  <w:abstractNum w:abstractNumId="3">
    <w:nsid w:val="B6D81467"/>
    <w:multiLevelType w:val="singleLevel"/>
    <w:tmpl w:val="B6D81467"/>
    <w:lvl w:ilvl="0" w:tentative="0">
      <w:start w:val="1"/>
      <w:numFmt w:val="decimal"/>
      <w:suff w:val="nothing"/>
      <w:lvlText w:val="（%1）"/>
      <w:lvlJc w:val="left"/>
    </w:lvl>
  </w:abstractNum>
  <w:abstractNum w:abstractNumId="4">
    <w:nsid w:val="DD55468B"/>
    <w:multiLevelType w:val="singleLevel"/>
    <w:tmpl w:val="DD55468B"/>
    <w:lvl w:ilvl="0" w:tentative="0">
      <w:start w:val="1"/>
      <w:numFmt w:val="decimal"/>
      <w:suff w:val="nothing"/>
      <w:lvlText w:val="（%1）"/>
      <w:lvlJc w:val="left"/>
    </w:lvl>
  </w:abstractNum>
  <w:abstractNum w:abstractNumId="5">
    <w:nsid w:val="E070B39E"/>
    <w:multiLevelType w:val="singleLevel"/>
    <w:tmpl w:val="E070B39E"/>
    <w:lvl w:ilvl="0" w:tentative="0">
      <w:start w:val="1"/>
      <w:numFmt w:val="decimal"/>
      <w:suff w:val="nothing"/>
      <w:lvlText w:val="（%1）"/>
      <w:lvlJc w:val="left"/>
    </w:lvl>
  </w:abstractNum>
  <w:abstractNum w:abstractNumId="6">
    <w:nsid w:val="E8FB0C87"/>
    <w:multiLevelType w:val="singleLevel"/>
    <w:tmpl w:val="E8FB0C87"/>
    <w:lvl w:ilvl="0" w:tentative="0">
      <w:start w:val="1"/>
      <w:numFmt w:val="decimal"/>
      <w:suff w:val="nothing"/>
      <w:lvlText w:val="（%1）"/>
      <w:lvlJc w:val="left"/>
    </w:lvl>
  </w:abstractNum>
  <w:abstractNum w:abstractNumId="7">
    <w:nsid w:val="02DCA1D3"/>
    <w:multiLevelType w:val="singleLevel"/>
    <w:tmpl w:val="02DCA1D3"/>
    <w:lvl w:ilvl="0" w:tentative="0">
      <w:start w:val="1"/>
      <w:numFmt w:val="decimal"/>
      <w:suff w:val="nothing"/>
      <w:lvlText w:val="（%1）"/>
      <w:lvlJc w:val="left"/>
    </w:lvl>
  </w:abstractNum>
  <w:abstractNum w:abstractNumId="8">
    <w:nsid w:val="05D4DFF8"/>
    <w:multiLevelType w:val="singleLevel"/>
    <w:tmpl w:val="05D4DFF8"/>
    <w:lvl w:ilvl="0" w:tentative="0">
      <w:start w:val="1"/>
      <w:numFmt w:val="decimal"/>
      <w:suff w:val="nothing"/>
      <w:lvlText w:val="（%1）"/>
      <w:lvlJc w:val="left"/>
    </w:lvl>
  </w:abstractNum>
  <w:abstractNum w:abstractNumId="9">
    <w:nsid w:val="100888DA"/>
    <w:multiLevelType w:val="singleLevel"/>
    <w:tmpl w:val="100888DA"/>
    <w:lvl w:ilvl="0" w:tentative="0">
      <w:start w:val="1"/>
      <w:numFmt w:val="decimal"/>
      <w:suff w:val="nothing"/>
      <w:lvlText w:val="（%1）"/>
      <w:lvlJc w:val="left"/>
    </w:lvl>
  </w:abstractNum>
  <w:abstractNum w:abstractNumId="10">
    <w:nsid w:val="11DB0252"/>
    <w:multiLevelType w:val="singleLevel"/>
    <w:tmpl w:val="11DB0252"/>
    <w:lvl w:ilvl="0" w:tentative="0">
      <w:start w:val="1"/>
      <w:numFmt w:val="decimal"/>
      <w:suff w:val="nothing"/>
      <w:lvlText w:val="（%1）"/>
      <w:lvlJc w:val="left"/>
    </w:lvl>
  </w:abstractNum>
  <w:abstractNum w:abstractNumId="11">
    <w:nsid w:val="1B42A116"/>
    <w:multiLevelType w:val="singleLevel"/>
    <w:tmpl w:val="1B42A116"/>
    <w:lvl w:ilvl="0" w:tentative="0">
      <w:start w:val="1"/>
      <w:numFmt w:val="decimal"/>
      <w:suff w:val="nothing"/>
      <w:lvlText w:val="（%1）"/>
      <w:lvlJc w:val="left"/>
    </w:lvl>
  </w:abstractNum>
  <w:abstractNum w:abstractNumId="12">
    <w:nsid w:val="2D7E2437"/>
    <w:multiLevelType w:val="singleLevel"/>
    <w:tmpl w:val="2D7E2437"/>
    <w:lvl w:ilvl="0" w:tentative="0">
      <w:start w:val="1"/>
      <w:numFmt w:val="decimal"/>
      <w:suff w:val="nothing"/>
      <w:lvlText w:val="（%1）"/>
      <w:lvlJc w:val="left"/>
    </w:lvl>
  </w:abstractNum>
  <w:abstractNum w:abstractNumId="13">
    <w:nsid w:val="39245D33"/>
    <w:multiLevelType w:val="singleLevel"/>
    <w:tmpl w:val="39245D33"/>
    <w:lvl w:ilvl="0" w:tentative="0">
      <w:start w:val="1"/>
      <w:numFmt w:val="decimal"/>
      <w:suff w:val="nothing"/>
      <w:lvlText w:val="（%1）"/>
      <w:lvlJc w:val="left"/>
    </w:lvl>
  </w:abstractNum>
  <w:abstractNum w:abstractNumId="14">
    <w:nsid w:val="40289E8A"/>
    <w:multiLevelType w:val="singleLevel"/>
    <w:tmpl w:val="40289E8A"/>
    <w:lvl w:ilvl="0" w:tentative="0">
      <w:start w:val="1"/>
      <w:numFmt w:val="decimal"/>
      <w:suff w:val="nothing"/>
      <w:lvlText w:val="（%1）"/>
      <w:lvlJc w:val="left"/>
    </w:lvl>
  </w:abstractNum>
  <w:abstractNum w:abstractNumId="15">
    <w:nsid w:val="46038B8E"/>
    <w:multiLevelType w:val="singleLevel"/>
    <w:tmpl w:val="46038B8E"/>
    <w:lvl w:ilvl="0" w:tentative="0">
      <w:start w:val="1"/>
      <w:numFmt w:val="decimal"/>
      <w:lvlText w:val="%1."/>
      <w:lvlJc w:val="left"/>
      <w:pPr>
        <w:tabs>
          <w:tab w:val="left" w:pos="312"/>
        </w:tabs>
      </w:pPr>
    </w:lvl>
  </w:abstractNum>
  <w:abstractNum w:abstractNumId="16">
    <w:nsid w:val="551371C1"/>
    <w:multiLevelType w:val="singleLevel"/>
    <w:tmpl w:val="551371C1"/>
    <w:lvl w:ilvl="0" w:tentative="0">
      <w:start w:val="1"/>
      <w:numFmt w:val="decimal"/>
      <w:suff w:val="nothing"/>
      <w:lvlText w:val="（%1）"/>
      <w:lvlJc w:val="left"/>
    </w:lvl>
  </w:abstractNum>
  <w:abstractNum w:abstractNumId="17">
    <w:nsid w:val="5BB2E721"/>
    <w:multiLevelType w:val="singleLevel"/>
    <w:tmpl w:val="5BB2E721"/>
    <w:lvl w:ilvl="0" w:tentative="0">
      <w:start w:val="1"/>
      <w:numFmt w:val="decimal"/>
      <w:suff w:val="nothing"/>
      <w:lvlText w:val="（%1）"/>
      <w:lvlJc w:val="left"/>
    </w:lvl>
  </w:abstractNum>
  <w:num w:numId="1">
    <w:abstractNumId w:val="12"/>
  </w:num>
  <w:num w:numId="2">
    <w:abstractNumId w:val="5"/>
  </w:num>
  <w:num w:numId="3">
    <w:abstractNumId w:val="1"/>
  </w:num>
  <w:num w:numId="4">
    <w:abstractNumId w:val="6"/>
  </w:num>
  <w:num w:numId="5">
    <w:abstractNumId w:val="17"/>
  </w:num>
  <w:num w:numId="6">
    <w:abstractNumId w:val="14"/>
  </w:num>
  <w:num w:numId="7">
    <w:abstractNumId w:val="0"/>
  </w:num>
  <w:num w:numId="8">
    <w:abstractNumId w:val="11"/>
  </w:num>
  <w:num w:numId="9">
    <w:abstractNumId w:val="10"/>
  </w:num>
  <w:num w:numId="10">
    <w:abstractNumId w:val="2"/>
  </w:num>
  <w:num w:numId="11">
    <w:abstractNumId w:val="16"/>
  </w:num>
  <w:num w:numId="12">
    <w:abstractNumId w:val="4"/>
  </w:num>
  <w:num w:numId="13">
    <w:abstractNumId w:val="13"/>
  </w:num>
  <w:num w:numId="14">
    <w:abstractNumId w:val="8"/>
  </w:num>
  <w:num w:numId="15">
    <w:abstractNumId w:val="3"/>
  </w:num>
  <w:num w:numId="16">
    <w:abstractNumId w:val="7"/>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iMmVkODU1MjU5YTg5OWJjNzBlZTNmNTI1ZjIyOWIifQ=="/>
  </w:docVars>
  <w:rsids>
    <w:rsidRoot w:val="5993715F"/>
    <w:rsid w:val="002D12AF"/>
    <w:rsid w:val="00500138"/>
    <w:rsid w:val="005C088A"/>
    <w:rsid w:val="00692FA7"/>
    <w:rsid w:val="009224FE"/>
    <w:rsid w:val="0092676D"/>
    <w:rsid w:val="00C14B91"/>
    <w:rsid w:val="010A6538"/>
    <w:rsid w:val="012E0475"/>
    <w:rsid w:val="012E6AA2"/>
    <w:rsid w:val="01394934"/>
    <w:rsid w:val="01457570"/>
    <w:rsid w:val="01735AA2"/>
    <w:rsid w:val="017677E5"/>
    <w:rsid w:val="017E0CD4"/>
    <w:rsid w:val="017E2A82"/>
    <w:rsid w:val="018502B5"/>
    <w:rsid w:val="018A7859"/>
    <w:rsid w:val="01B13077"/>
    <w:rsid w:val="01B24A7A"/>
    <w:rsid w:val="01B47739"/>
    <w:rsid w:val="01C067DF"/>
    <w:rsid w:val="01CF7782"/>
    <w:rsid w:val="020220C6"/>
    <w:rsid w:val="0204271C"/>
    <w:rsid w:val="025A529E"/>
    <w:rsid w:val="02704178"/>
    <w:rsid w:val="02753E85"/>
    <w:rsid w:val="02A1710F"/>
    <w:rsid w:val="02A24F36"/>
    <w:rsid w:val="02E84657"/>
    <w:rsid w:val="03082F4B"/>
    <w:rsid w:val="03373831"/>
    <w:rsid w:val="036A59B4"/>
    <w:rsid w:val="036F0D92"/>
    <w:rsid w:val="03DB240E"/>
    <w:rsid w:val="04A503C2"/>
    <w:rsid w:val="04FE6073"/>
    <w:rsid w:val="0502062B"/>
    <w:rsid w:val="05052B5C"/>
    <w:rsid w:val="052B1173"/>
    <w:rsid w:val="052D4B75"/>
    <w:rsid w:val="05372614"/>
    <w:rsid w:val="058B3D93"/>
    <w:rsid w:val="05AB73D8"/>
    <w:rsid w:val="05BE5B43"/>
    <w:rsid w:val="05C47CFC"/>
    <w:rsid w:val="05D3666F"/>
    <w:rsid w:val="0609700F"/>
    <w:rsid w:val="06233BF8"/>
    <w:rsid w:val="062B6EDE"/>
    <w:rsid w:val="06986394"/>
    <w:rsid w:val="06A74829"/>
    <w:rsid w:val="06D422E1"/>
    <w:rsid w:val="06D85C9F"/>
    <w:rsid w:val="06E45150"/>
    <w:rsid w:val="06EC0C0D"/>
    <w:rsid w:val="06EC66E0"/>
    <w:rsid w:val="0740168E"/>
    <w:rsid w:val="075913DB"/>
    <w:rsid w:val="075C1AB8"/>
    <w:rsid w:val="077A5294"/>
    <w:rsid w:val="079633A6"/>
    <w:rsid w:val="07B34D27"/>
    <w:rsid w:val="07F817E1"/>
    <w:rsid w:val="07FA255C"/>
    <w:rsid w:val="082641D3"/>
    <w:rsid w:val="08484D29"/>
    <w:rsid w:val="086C3CB8"/>
    <w:rsid w:val="086E3851"/>
    <w:rsid w:val="087B3CF2"/>
    <w:rsid w:val="088A6324"/>
    <w:rsid w:val="089745D6"/>
    <w:rsid w:val="089808CE"/>
    <w:rsid w:val="08B123F7"/>
    <w:rsid w:val="08BB2E71"/>
    <w:rsid w:val="08C2594B"/>
    <w:rsid w:val="08C47915"/>
    <w:rsid w:val="08DD09D6"/>
    <w:rsid w:val="08ED6E6B"/>
    <w:rsid w:val="08FC5E86"/>
    <w:rsid w:val="08FF26FB"/>
    <w:rsid w:val="092752BD"/>
    <w:rsid w:val="0958005D"/>
    <w:rsid w:val="095C18FB"/>
    <w:rsid w:val="09C53944"/>
    <w:rsid w:val="09CB082F"/>
    <w:rsid w:val="09FA2D72"/>
    <w:rsid w:val="0A0B3A10"/>
    <w:rsid w:val="0A13403D"/>
    <w:rsid w:val="0A20132A"/>
    <w:rsid w:val="0A4D14F8"/>
    <w:rsid w:val="0A6157AE"/>
    <w:rsid w:val="0A9D666F"/>
    <w:rsid w:val="0AA96DC2"/>
    <w:rsid w:val="0AB3623A"/>
    <w:rsid w:val="0ADD4CBE"/>
    <w:rsid w:val="0B1526A9"/>
    <w:rsid w:val="0B154457"/>
    <w:rsid w:val="0B1C57E6"/>
    <w:rsid w:val="0B3501C0"/>
    <w:rsid w:val="0B664CB3"/>
    <w:rsid w:val="0B7D456D"/>
    <w:rsid w:val="0BC1638D"/>
    <w:rsid w:val="0BE977F2"/>
    <w:rsid w:val="0C38137F"/>
    <w:rsid w:val="0C536D2F"/>
    <w:rsid w:val="0C63136B"/>
    <w:rsid w:val="0C711B61"/>
    <w:rsid w:val="0C9F2C29"/>
    <w:rsid w:val="0CA24551"/>
    <w:rsid w:val="0CA5278C"/>
    <w:rsid w:val="0CCC4F7E"/>
    <w:rsid w:val="0CD7515F"/>
    <w:rsid w:val="0D792692"/>
    <w:rsid w:val="0DD423A8"/>
    <w:rsid w:val="0DF04D08"/>
    <w:rsid w:val="0DF26CD2"/>
    <w:rsid w:val="0E4128C0"/>
    <w:rsid w:val="0E5139F9"/>
    <w:rsid w:val="0E715E49"/>
    <w:rsid w:val="0EC07A7C"/>
    <w:rsid w:val="0ECC3824"/>
    <w:rsid w:val="0ED91C40"/>
    <w:rsid w:val="0F87169C"/>
    <w:rsid w:val="0F8B118C"/>
    <w:rsid w:val="0FE31700"/>
    <w:rsid w:val="0FFA00C0"/>
    <w:rsid w:val="101C1267"/>
    <w:rsid w:val="102437C2"/>
    <w:rsid w:val="103C4234"/>
    <w:rsid w:val="104B00A3"/>
    <w:rsid w:val="106B68C8"/>
    <w:rsid w:val="1081433D"/>
    <w:rsid w:val="108300B5"/>
    <w:rsid w:val="108E50A7"/>
    <w:rsid w:val="10C2518C"/>
    <w:rsid w:val="10D12BCF"/>
    <w:rsid w:val="10D40911"/>
    <w:rsid w:val="10E02E12"/>
    <w:rsid w:val="10E072B6"/>
    <w:rsid w:val="10E802AE"/>
    <w:rsid w:val="110A4333"/>
    <w:rsid w:val="110D797F"/>
    <w:rsid w:val="11143D76"/>
    <w:rsid w:val="1120460D"/>
    <w:rsid w:val="112D69DD"/>
    <w:rsid w:val="113831D6"/>
    <w:rsid w:val="11447B82"/>
    <w:rsid w:val="11494E5B"/>
    <w:rsid w:val="11505760"/>
    <w:rsid w:val="11651BDC"/>
    <w:rsid w:val="11763776"/>
    <w:rsid w:val="11874BC0"/>
    <w:rsid w:val="118916FB"/>
    <w:rsid w:val="118E286E"/>
    <w:rsid w:val="119D229D"/>
    <w:rsid w:val="11A958FA"/>
    <w:rsid w:val="11D0732A"/>
    <w:rsid w:val="11F43656"/>
    <w:rsid w:val="11F476D0"/>
    <w:rsid w:val="120A55F7"/>
    <w:rsid w:val="124735E0"/>
    <w:rsid w:val="12582E7C"/>
    <w:rsid w:val="125F2B65"/>
    <w:rsid w:val="12C0739F"/>
    <w:rsid w:val="133833D9"/>
    <w:rsid w:val="13750189"/>
    <w:rsid w:val="138403CC"/>
    <w:rsid w:val="139B67BD"/>
    <w:rsid w:val="139D323C"/>
    <w:rsid w:val="13AC60B8"/>
    <w:rsid w:val="13F15336"/>
    <w:rsid w:val="14061086"/>
    <w:rsid w:val="14213E6D"/>
    <w:rsid w:val="14410E89"/>
    <w:rsid w:val="144D6A10"/>
    <w:rsid w:val="145C01B3"/>
    <w:rsid w:val="145C0341"/>
    <w:rsid w:val="14A16D5C"/>
    <w:rsid w:val="14A4789F"/>
    <w:rsid w:val="14EA0703"/>
    <w:rsid w:val="15440DDE"/>
    <w:rsid w:val="155B1330"/>
    <w:rsid w:val="15C12BFE"/>
    <w:rsid w:val="15D942D4"/>
    <w:rsid w:val="15FD7FC2"/>
    <w:rsid w:val="16656284"/>
    <w:rsid w:val="168D7598"/>
    <w:rsid w:val="16B70AB9"/>
    <w:rsid w:val="16BC4251"/>
    <w:rsid w:val="16C3745D"/>
    <w:rsid w:val="16CC61BB"/>
    <w:rsid w:val="16D73273"/>
    <w:rsid w:val="17775788"/>
    <w:rsid w:val="17854B7B"/>
    <w:rsid w:val="17A621C7"/>
    <w:rsid w:val="17C87E9B"/>
    <w:rsid w:val="17F02536"/>
    <w:rsid w:val="17FB49D5"/>
    <w:rsid w:val="18296D8D"/>
    <w:rsid w:val="182C2DE0"/>
    <w:rsid w:val="18452495"/>
    <w:rsid w:val="18694C95"/>
    <w:rsid w:val="18784ACC"/>
    <w:rsid w:val="188B6BEA"/>
    <w:rsid w:val="18982224"/>
    <w:rsid w:val="18C132DF"/>
    <w:rsid w:val="19194749"/>
    <w:rsid w:val="19324427"/>
    <w:rsid w:val="193948C5"/>
    <w:rsid w:val="193A152D"/>
    <w:rsid w:val="19406B43"/>
    <w:rsid w:val="19420CC3"/>
    <w:rsid w:val="1954439D"/>
    <w:rsid w:val="198D0F05"/>
    <w:rsid w:val="19C808E7"/>
    <w:rsid w:val="19FE14DF"/>
    <w:rsid w:val="1A085AB4"/>
    <w:rsid w:val="1A35031E"/>
    <w:rsid w:val="1A586515"/>
    <w:rsid w:val="1A5F0CF1"/>
    <w:rsid w:val="1A6745A4"/>
    <w:rsid w:val="1AA86EBC"/>
    <w:rsid w:val="1AD33756"/>
    <w:rsid w:val="1AD83DD3"/>
    <w:rsid w:val="1AEE25CF"/>
    <w:rsid w:val="1B0970AC"/>
    <w:rsid w:val="1B124510"/>
    <w:rsid w:val="1B270062"/>
    <w:rsid w:val="1B397CEE"/>
    <w:rsid w:val="1B404677"/>
    <w:rsid w:val="1B5B5EB7"/>
    <w:rsid w:val="1B801BB6"/>
    <w:rsid w:val="1B854CE1"/>
    <w:rsid w:val="1BB90E2F"/>
    <w:rsid w:val="1BC577D4"/>
    <w:rsid w:val="1BD73063"/>
    <w:rsid w:val="1BE85270"/>
    <w:rsid w:val="1BEB412A"/>
    <w:rsid w:val="1BF65BDF"/>
    <w:rsid w:val="1BFB31F6"/>
    <w:rsid w:val="1C2C7FE2"/>
    <w:rsid w:val="1C305712"/>
    <w:rsid w:val="1C5446B4"/>
    <w:rsid w:val="1C640D9B"/>
    <w:rsid w:val="1CB258D2"/>
    <w:rsid w:val="1D040B84"/>
    <w:rsid w:val="1D094FCF"/>
    <w:rsid w:val="1D1C78C7"/>
    <w:rsid w:val="1D306ECF"/>
    <w:rsid w:val="1D493067"/>
    <w:rsid w:val="1D8A36F5"/>
    <w:rsid w:val="1D8D5BD3"/>
    <w:rsid w:val="1DA00E14"/>
    <w:rsid w:val="1DA43419"/>
    <w:rsid w:val="1DAB7ABB"/>
    <w:rsid w:val="1DBC69B5"/>
    <w:rsid w:val="1DD7513B"/>
    <w:rsid w:val="1DE81558"/>
    <w:rsid w:val="1DEF0B38"/>
    <w:rsid w:val="1DF6779F"/>
    <w:rsid w:val="1E0D04AA"/>
    <w:rsid w:val="1E504853"/>
    <w:rsid w:val="1E7B3054"/>
    <w:rsid w:val="1E867A20"/>
    <w:rsid w:val="1E982F7E"/>
    <w:rsid w:val="1EB3600A"/>
    <w:rsid w:val="1EB853CE"/>
    <w:rsid w:val="1EC42ADF"/>
    <w:rsid w:val="1EFD1033"/>
    <w:rsid w:val="1F0871D4"/>
    <w:rsid w:val="1F100D66"/>
    <w:rsid w:val="1F2B2044"/>
    <w:rsid w:val="1F616A1C"/>
    <w:rsid w:val="1F93095F"/>
    <w:rsid w:val="1FF13588"/>
    <w:rsid w:val="203023E8"/>
    <w:rsid w:val="204A043C"/>
    <w:rsid w:val="204C4020"/>
    <w:rsid w:val="20B12883"/>
    <w:rsid w:val="20BB11A5"/>
    <w:rsid w:val="215A6C10"/>
    <w:rsid w:val="21865261"/>
    <w:rsid w:val="219914E7"/>
    <w:rsid w:val="21B300CF"/>
    <w:rsid w:val="21BE2CFB"/>
    <w:rsid w:val="21DF2155"/>
    <w:rsid w:val="21FF3314"/>
    <w:rsid w:val="225E6AC5"/>
    <w:rsid w:val="22C8411F"/>
    <w:rsid w:val="22CF2CE6"/>
    <w:rsid w:val="237D6BE6"/>
    <w:rsid w:val="23857CFE"/>
    <w:rsid w:val="238E494F"/>
    <w:rsid w:val="23A43D58"/>
    <w:rsid w:val="23AC56FC"/>
    <w:rsid w:val="23FF75FB"/>
    <w:rsid w:val="24241890"/>
    <w:rsid w:val="243454F7"/>
    <w:rsid w:val="24455956"/>
    <w:rsid w:val="24632048"/>
    <w:rsid w:val="24A361D8"/>
    <w:rsid w:val="24AE370D"/>
    <w:rsid w:val="24C30629"/>
    <w:rsid w:val="25655DE1"/>
    <w:rsid w:val="25CF608F"/>
    <w:rsid w:val="25FC3DF2"/>
    <w:rsid w:val="261E52E3"/>
    <w:rsid w:val="263A2B6C"/>
    <w:rsid w:val="26610965"/>
    <w:rsid w:val="267C4F33"/>
    <w:rsid w:val="26884D4A"/>
    <w:rsid w:val="26B97F35"/>
    <w:rsid w:val="26D27249"/>
    <w:rsid w:val="26D64921"/>
    <w:rsid w:val="26DC701E"/>
    <w:rsid w:val="27417109"/>
    <w:rsid w:val="274403BD"/>
    <w:rsid w:val="274C2E02"/>
    <w:rsid w:val="2779092B"/>
    <w:rsid w:val="27874D92"/>
    <w:rsid w:val="27BB755F"/>
    <w:rsid w:val="27C937EA"/>
    <w:rsid w:val="27D03788"/>
    <w:rsid w:val="27F154AD"/>
    <w:rsid w:val="27F1551F"/>
    <w:rsid w:val="28B766F6"/>
    <w:rsid w:val="28BC18CA"/>
    <w:rsid w:val="28C64B8B"/>
    <w:rsid w:val="28CB19DB"/>
    <w:rsid w:val="28E15521"/>
    <w:rsid w:val="28F539BB"/>
    <w:rsid w:val="2916341D"/>
    <w:rsid w:val="291C2586"/>
    <w:rsid w:val="292D0766"/>
    <w:rsid w:val="29430898"/>
    <w:rsid w:val="296A62C1"/>
    <w:rsid w:val="29CA22D7"/>
    <w:rsid w:val="29F13D32"/>
    <w:rsid w:val="2A306760"/>
    <w:rsid w:val="2A485F9A"/>
    <w:rsid w:val="2A677CA8"/>
    <w:rsid w:val="2A691C72"/>
    <w:rsid w:val="2A861EF9"/>
    <w:rsid w:val="2AAA6513"/>
    <w:rsid w:val="2AD90BA6"/>
    <w:rsid w:val="2AF92FF6"/>
    <w:rsid w:val="2AFF7DF7"/>
    <w:rsid w:val="2B4A127E"/>
    <w:rsid w:val="2BCC24B9"/>
    <w:rsid w:val="2BD24103"/>
    <w:rsid w:val="2BD521D1"/>
    <w:rsid w:val="2BD83EBF"/>
    <w:rsid w:val="2BEF61A7"/>
    <w:rsid w:val="2C151290"/>
    <w:rsid w:val="2C3F2C8B"/>
    <w:rsid w:val="2C550700"/>
    <w:rsid w:val="2C570BEE"/>
    <w:rsid w:val="2C792640"/>
    <w:rsid w:val="2CA109DD"/>
    <w:rsid w:val="2CB201D5"/>
    <w:rsid w:val="2CBD3D73"/>
    <w:rsid w:val="2CCA58BC"/>
    <w:rsid w:val="2CF945F3"/>
    <w:rsid w:val="2D112291"/>
    <w:rsid w:val="2DB90321"/>
    <w:rsid w:val="2DBF0527"/>
    <w:rsid w:val="2DDC7D02"/>
    <w:rsid w:val="2E2760CC"/>
    <w:rsid w:val="2E347EDA"/>
    <w:rsid w:val="2E6B420B"/>
    <w:rsid w:val="2E93215F"/>
    <w:rsid w:val="2EA26249"/>
    <w:rsid w:val="2EAC2CBE"/>
    <w:rsid w:val="2EF55291"/>
    <w:rsid w:val="2F14626B"/>
    <w:rsid w:val="2F155F25"/>
    <w:rsid w:val="2F2B6B37"/>
    <w:rsid w:val="2F4308A5"/>
    <w:rsid w:val="2F61116A"/>
    <w:rsid w:val="2F6F1AD9"/>
    <w:rsid w:val="2F7C267E"/>
    <w:rsid w:val="2F974B8C"/>
    <w:rsid w:val="2FFC1FF5"/>
    <w:rsid w:val="30136908"/>
    <w:rsid w:val="303B24C1"/>
    <w:rsid w:val="303F594F"/>
    <w:rsid w:val="305B205D"/>
    <w:rsid w:val="30696528"/>
    <w:rsid w:val="3095556F"/>
    <w:rsid w:val="30B55C11"/>
    <w:rsid w:val="30BA6D84"/>
    <w:rsid w:val="30CA3D76"/>
    <w:rsid w:val="30DC7D11"/>
    <w:rsid w:val="30F46739"/>
    <w:rsid w:val="315904C7"/>
    <w:rsid w:val="315B638E"/>
    <w:rsid w:val="316A07AA"/>
    <w:rsid w:val="318850D4"/>
    <w:rsid w:val="319B4E07"/>
    <w:rsid w:val="32467154"/>
    <w:rsid w:val="325B6344"/>
    <w:rsid w:val="32621481"/>
    <w:rsid w:val="3264169D"/>
    <w:rsid w:val="326935B9"/>
    <w:rsid w:val="327A2C6E"/>
    <w:rsid w:val="327B0795"/>
    <w:rsid w:val="32812D01"/>
    <w:rsid w:val="32BB6DE3"/>
    <w:rsid w:val="32E9237A"/>
    <w:rsid w:val="33150BE9"/>
    <w:rsid w:val="331704BD"/>
    <w:rsid w:val="33613E2E"/>
    <w:rsid w:val="33681E8B"/>
    <w:rsid w:val="336B0809"/>
    <w:rsid w:val="33CB12A8"/>
    <w:rsid w:val="33D44600"/>
    <w:rsid w:val="33DE760F"/>
    <w:rsid w:val="34023628"/>
    <w:rsid w:val="341C562B"/>
    <w:rsid w:val="3445105A"/>
    <w:rsid w:val="345B262C"/>
    <w:rsid w:val="34641FE1"/>
    <w:rsid w:val="34CE1050"/>
    <w:rsid w:val="34E938F8"/>
    <w:rsid w:val="34F605A6"/>
    <w:rsid w:val="35213875"/>
    <w:rsid w:val="355C0417"/>
    <w:rsid w:val="357D4824"/>
    <w:rsid w:val="359219D3"/>
    <w:rsid w:val="363B0556"/>
    <w:rsid w:val="36421F81"/>
    <w:rsid w:val="364B52C7"/>
    <w:rsid w:val="36D71BF2"/>
    <w:rsid w:val="372548A1"/>
    <w:rsid w:val="373A6E70"/>
    <w:rsid w:val="376E70A4"/>
    <w:rsid w:val="37A772F5"/>
    <w:rsid w:val="37AB38CA"/>
    <w:rsid w:val="380B27FE"/>
    <w:rsid w:val="381256F7"/>
    <w:rsid w:val="38194CD8"/>
    <w:rsid w:val="382C07E5"/>
    <w:rsid w:val="38322E83"/>
    <w:rsid w:val="383C09C6"/>
    <w:rsid w:val="386A200E"/>
    <w:rsid w:val="38743CBC"/>
    <w:rsid w:val="389B1972"/>
    <w:rsid w:val="390C0398"/>
    <w:rsid w:val="392C4597"/>
    <w:rsid w:val="394144E6"/>
    <w:rsid w:val="394E09B1"/>
    <w:rsid w:val="395D3026"/>
    <w:rsid w:val="396A7E92"/>
    <w:rsid w:val="39846B33"/>
    <w:rsid w:val="399F1FC3"/>
    <w:rsid w:val="39A131D7"/>
    <w:rsid w:val="39CD5D7A"/>
    <w:rsid w:val="3A9154A1"/>
    <w:rsid w:val="3AA760AC"/>
    <w:rsid w:val="3AD0311D"/>
    <w:rsid w:val="3B135A0E"/>
    <w:rsid w:val="3B273268"/>
    <w:rsid w:val="3B2A2ED7"/>
    <w:rsid w:val="3B2C6AD0"/>
    <w:rsid w:val="3B3241E3"/>
    <w:rsid w:val="3B385190"/>
    <w:rsid w:val="3B5129DA"/>
    <w:rsid w:val="3B5344E9"/>
    <w:rsid w:val="3B5F0C53"/>
    <w:rsid w:val="3B714E2B"/>
    <w:rsid w:val="3BAD5D4C"/>
    <w:rsid w:val="3BC44F5A"/>
    <w:rsid w:val="3BDD4120"/>
    <w:rsid w:val="3BF375EE"/>
    <w:rsid w:val="3C045775"/>
    <w:rsid w:val="3C22156E"/>
    <w:rsid w:val="3C243C4B"/>
    <w:rsid w:val="3C414629"/>
    <w:rsid w:val="3C4340D1"/>
    <w:rsid w:val="3C4704B5"/>
    <w:rsid w:val="3C4D4F50"/>
    <w:rsid w:val="3C664263"/>
    <w:rsid w:val="3C750948"/>
    <w:rsid w:val="3C7F0E81"/>
    <w:rsid w:val="3CC52D38"/>
    <w:rsid w:val="3CCB2319"/>
    <w:rsid w:val="3CD016DD"/>
    <w:rsid w:val="3D115AA4"/>
    <w:rsid w:val="3D127F47"/>
    <w:rsid w:val="3D1D2B74"/>
    <w:rsid w:val="3D363C36"/>
    <w:rsid w:val="3D540560"/>
    <w:rsid w:val="3DA07301"/>
    <w:rsid w:val="3DC3718A"/>
    <w:rsid w:val="3DC56D68"/>
    <w:rsid w:val="3E027FBC"/>
    <w:rsid w:val="3E120A87"/>
    <w:rsid w:val="3E1321C9"/>
    <w:rsid w:val="3E442D8F"/>
    <w:rsid w:val="3E556FE8"/>
    <w:rsid w:val="3E6622F9"/>
    <w:rsid w:val="3E9C3F6D"/>
    <w:rsid w:val="3EC51715"/>
    <w:rsid w:val="3EE451EE"/>
    <w:rsid w:val="3EF84AB5"/>
    <w:rsid w:val="3EF94F1B"/>
    <w:rsid w:val="3F19380F"/>
    <w:rsid w:val="3F1A38CA"/>
    <w:rsid w:val="3F1F7AF9"/>
    <w:rsid w:val="3F277CDA"/>
    <w:rsid w:val="3F4F2771"/>
    <w:rsid w:val="3F7D17E3"/>
    <w:rsid w:val="3F8A0269"/>
    <w:rsid w:val="3FB31224"/>
    <w:rsid w:val="3FC337AF"/>
    <w:rsid w:val="3FCE3E52"/>
    <w:rsid w:val="3FD87116"/>
    <w:rsid w:val="3FE56885"/>
    <w:rsid w:val="3FF81676"/>
    <w:rsid w:val="401B7113"/>
    <w:rsid w:val="40477F08"/>
    <w:rsid w:val="40764075"/>
    <w:rsid w:val="407F58F4"/>
    <w:rsid w:val="40CF23B6"/>
    <w:rsid w:val="40D479EE"/>
    <w:rsid w:val="40E13EB9"/>
    <w:rsid w:val="40F313EE"/>
    <w:rsid w:val="41014AC3"/>
    <w:rsid w:val="4125507A"/>
    <w:rsid w:val="412600AD"/>
    <w:rsid w:val="413277CA"/>
    <w:rsid w:val="41A62F1D"/>
    <w:rsid w:val="41B94E35"/>
    <w:rsid w:val="41BB0BAE"/>
    <w:rsid w:val="41BD0482"/>
    <w:rsid w:val="41D21D89"/>
    <w:rsid w:val="4221632B"/>
    <w:rsid w:val="42674891"/>
    <w:rsid w:val="426976B5"/>
    <w:rsid w:val="428F724E"/>
    <w:rsid w:val="42933A3A"/>
    <w:rsid w:val="42DE0A3B"/>
    <w:rsid w:val="43251644"/>
    <w:rsid w:val="43282273"/>
    <w:rsid w:val="435412BA"/>
    <w:rsid w:val="43547FC2"/>
    <w:rsid w:val="436A288B"/>
    <w:rsid w:val="439D4A0F"/>
    <w:rsid w:val="439E2535"/>
    <w:rsid w:val="43C36F6C"/>
    <w:rsid w:val="43FD637A"/>
    <w:rsid w:val="441D5B50"/>
    <w:rsid w:val="4431594C"/>
    <w:rsid w:val="443B5FD6"/>
    <w:rsid w:val="445D7297"/>
    <w:rsid w:val="447D65EE"/>
    <w:rsid w:val="44817E8C"/>
    <w:rsid w:val="44A461D6"/>
    <w:rsid w:val="44AE0556"/>
    <w:rsid w:val="44C63AF1"/>
    <w:rsid w:val="44CC370B"/>
    <w:rsid w:val="44D77AAC"/>
    <w:rsid w:val="44F30D11"/>
    <w:rsid w:val="45252F0E"/>
    <w:rsid w:val="4536463F"/>
    <w:rsid w:val="45C30031"/>
    <w:rsid w:val="45DE6DF1"/>
    <w:rsid w:val="45FA2AFC"/>
    <w:rsid w:val="461A3093"/>
    <w:rsid w:val="46462D05"/>
    <w:rsid w:val="46806842"/>
    <w:rsid w:val="46B1432D"/>
    <w:rsid w:val="46D467A6"/>
    <w:rsid w:val="46E75FA1"/>
    <w:rsid w:val="4703102D"/>
    <w:rsid w:val="47152B0E"/>
    <w:rsid w:val="471A6421"/>
    <w:rsid w:val="47C2684C"/>
    <w:rsid w:val="47D91D8D"/>
    <w:rsid w:val="483176A7"/>
    <w:rsid w:val="489E1623"/>
    <w:rsid w:val="48B06F92"/>
    <w:rsid w:val="48B44D68"/>
    <w:rsid w:val="48BF0ED9"/>
    <w:rsid w:val="48E7672C"/>
    <w:rsid w:val="48F826E7"/>
    <w:rsid w:val="48F86873"/>
    <w:rsid w:val="492C78B3"/>
    <w:rsid w:val="49553696"/>
    <w:rsid w:val="4961347E"/>
    <w:rsid w:val="49845D29"/>
    <w:rsid w:val="498A2208"/>
    <w:rsid w:val="49D65CE9"/>
    <w:rsid w:val="4A2A68D0"/>
    <w:rsid w:val="4A403FD1"/>
    <w:rsid w:val="4A5C3CFA"/>
    <w:rsid w:val="4A6534B0"/>
    <w:rsid w:val="4AA46683"/>
    <w:rsid w:val="4AE50A49"/>
    <w:rsid w:val="4B104882"/>
    <w:rsid w:val="4B215F25"/>
    <w:rsid w:val="4B4C6A91"/>
    <w:rsid w:val="4B710D89"/>
    <w:rsid w:val="4B7156EF"/>
    <w:rsid w:val="4B7818BD"/>
    <w:rsid w:val="4B814C16"/>
    <w:rsid w:val="4B991F60"/>
    <w:rsid w:val="4BC55E91"/>
    <w:rsid w:val="4BE96317"/>
    <w:rsid w:val="4BF002D9"/>
    <w:rsid w:val="4C35155C"/>
    <w:rsid w:val="4C5304D0"/>
    <w:rsid w:val="4CBE4AC1"/>
    <w:rsid w:val="4CD77602"/>
    <w:rsid w:val="4D011AC7"/>
    <w:rsid w:val="4D081CA0"/>
    <w:rsid w:val="4D2A6BE7"/>
    <w:rsid w:val="4D4A3E41"/>
    <w:rsid w:val="4D8602C2"/>
    <w:rsid w:val="4D8B7E25"/>
    <w:rsid w:val="4DAD6990"/>
    <w:rsid w:val="4E1C79A9"/>
    <w:rsid w:val="4E593C28"/>
    <w:rsid w:val="4E9904C8"/>
    <w:rsid w:val="4EA568EA"/>
    <w:rsid w:val="4EFB6F95"/>
    <w:rsid w:val="4F073EC1"/>
    <w:rsid w:val="4F29184C"/>
    <w:rsid w:val="4F734876"/>
    <w:rsid w:val="4F9D6F64"/>
    <w:rsid w:val="501716A5"/>
    <w:rsid w:val="505F0C4F"/>
    <w:rsid w:val="509C7DFC"/>
    <w:rsid w:val="50C0226F"/>
    <w:rsid w:val="50F33EC0"/>
    <w:rsid w:val="51167000"/>
    <w:rsid w:val="51362C78"/>
    <w:rsid w:val="513918A9"/>
    <w:rsid w:val="51393D98"/>
    <w:rsid w:val="5167665C"/>
    <w:rsid w:val="5176064D"/>
    <w:rsid w:val="519D3E2C"/>
    <w:rsid w:val="519F7026"/>
    <w:rsid w:val="51E25CE3"/>
    <w:rsid w:val="51FA6370"/>
    <w:rsid w:val="52036385"/>
    <w:rsid w:val="520E0886"/>
    <w:rsid w:val="52844555"/>
    <w:rsid w:val="52981A08"/>
    <w:rsid w:val="52A94F25"/>
    <w:rsid w:val="52AD3126"/>
    <w:rsid w:val="52BE3255"/>
    <w:rsid w:val="52DE6D91"/>
    <w:rsid w:val="52E9702A"/>
    <w:rsid w:val="53314CA4"/>
    <w:rsid w:val="533E519B"/>
    <w:rsid w:val="534C2BE5"/>
    <w:rsid w:val="539E16E3"/>
    <w:rsid w:val="53B34B38"/>
    <w:rsid w:val="53B92A73"/>
    <w:rsid w:val="53BA6AA9"/>
    <w:rsid w:val="53D33B35"/>
    <w:rsid w:val="53EC109A"/>
    <w:rsid w:val="5414112F"/>
    <w:rsid w:val="544418C9"/>
    <w:rsid w:val="54594DBD"/>
    <w:rsid w:val="54646E83"/>
    <w:rsid w:val="549A7E9F"/>
    <w:rsid w:val="549D60F6"/>
    <w:rsid w:val="54AA0618"/>
    <w:rsid w:val="54CC5154"/>
    <w:rsid w:val="5547465E"/>
    <w:rsid w:val="556D7FA7"/>
    <w:rsid w:val="557E5D22"/>
    <w:rsid w:val="55A75279"/>
    <w:rsid w:val="55BD2CEE"/>
    <w:rsid w:val="55CC6C60"/>
    <w:rsid w:val="55CE3C8F"/>
    <w:rsid w:val="55D240EB"/>
    <w:rsid w:val="55F5040B"/>
    <w:rsid w:val="561A3C9D"/>
    <w:rsid w:val="56380F69"/>
    <w:rsid w:val="56494582"/>
    <w:rsid w:val="564C5E20"/>
    <w:rsid w:val="56501831"/>
    <w:rsid w:val="566D5FAE"/>
    <w:rsid w:val="56A95021"/>
    <w:rsid w:val="571701DC"/>
    <w:rsid w:val="572E33CF"/>
    <w:rsid w:val="57387FCA"/>
    <w:rsid w:val="57460AC2"/>
    <w:rsid w:val="57584ADD"/>
    <w:rsid w:val="57636092"/>
    <w:rsid w:val="576D2115"/>
    <w:rsid w:val="57792E59"/>
    <w:rsid w:val="57AA1051"/>
    <w:rsid w:val="57BF2D4E"/>
    <w:rsid w:val="57D93345"/>
    <w:rsid w:val="57FB28B2"/>
    <w:rsid w:val="57FF75EE"/>
    <w:rsid w:val="5808087C"/>
    <w:rsid w:val="582E1C82"/>
    <w:rsid w:val="585B7E33"/>
    <w:rsid w:val="58694DA2"/>
    <w:rsid w:val="58823D7B"/>
    <w:rsid w:val="58847AF3"/>
    <w:rsid w:val="588D7A5F"/>
    <w:rsid w:val="5898359F"/>
    <w:rsid w:val="589870FB"/>
    <w:rsid w:val="58BD4DB3"/>
    <w:rsid w:val="58CA156E"/>
    <w:rsid w:val="58FC58DC"/>
    <w:rsid w:val="59011144"/>
    <w:rsid w:val="591205DC"/>
    <w:rsid w:val="591C5F7E"/>
    <w:rsid w:val="59631268"/>
    <w:rsid w:val="59736BDD"/>
    <w:rsid w:val="597F7FA7"/>
    <w:rsid w:val="5993715F"/>
    <w:rsid w:val="599E799C"/>
    <w:rsid w:val="59F775B9"/>
    <w:rsid w:val="5A0D7A45"/>
    <w:rsid w:val="5A0F7891"/>
    <w:rsid w:val="5A2A46CB"/>
    <w:rsid w:val="5A37566E"/>
    <w:rsid w:val="5A6E704A"/>
    <w:rsid w:val="5ACC12DE"/>
    <w:rsid w:val="5AE20B01"/>
    <w:rsid w:val="5AEE6368"/>
    <w:rsid w:val="5AF251E8"/>
    <w:rsid w:val="5AF745AD"/>
    <w:rsid w:val="5AF81503"/>
    <w:rsid w:val="5AF93CE8"/>
    <w:rsid w:val="5B174492"/>
    <w:rsid w:val="5B2C2259"/>
    <w:rsid w:val="5B3372B2"/>
    <w:rsid w:val="5B426DAD"/>
    <w:rsid w:val="5B5163B3"/>
    <w:rsid w:val="5B5C7251"/>
    <w:rsid w:val="5B610E2E"/>
    <w:rsid w:val="5B611D7E"/>
    <w:rsid w:val="5B986AC3"/>
    <w:rsid w:val="5BEA2363"/>
    <w:rsid w:val="5BF70F8E"/>
    <w:rsid w:val="5BFE7BBD"/>
    <w:rsid w:val="5C0D467E"/>
    <w:rsid w:val="5C164F06"/>
    <w:rsid w:val="5C182A2D"/>
    <w:rsid w:val="5CA02A22"/>
    <w:rsid w:val="5CAC7619"/>
    <w:rsid w:val="5CB564CD"/>
    <w:rsid w:val="5CC5779B"/>
    <w:rsid w:val="5CD94291"/>
    <w:rsid w:val="5CE3407F"/>
    <w:rsid w:val="5D0C7C9B"/>
    <w:rsid w:val="5D424896"/>
    <w:rsid w:val="5D4E06D0"/>
    <w:rsid w:val="5D550D59"/>
    <w:rsid w:val="5D6323CD"/>
    <w:rsid w:val="5DA12EF6"/>
    <w:rsid w:val="5DAA4A5C"/>
    <w:rsid w:val="5DD17A54"/>
    <w:rsid w:val="5E443FAD"/>
    <w:rsid w:val="5E5461ED"/>
    <w:rsid w:val="5EAE2F85"/>
    <w:rsid w:val="5EC22708"/>
    <w:rsid w:val="5EFD415C"/>
    <w:rsid w:val="5F48187B"/>
    <w:rsid w:val="5F4F0E5B"/>
    <w:rsid w:val="5F84662B"/>
    <w:rsid w:val="5FBE2A39"/>
    <w:rsid w:val="5FDE3F8D"/>
    <w:rsid w:val="600009E2"/>
    <w:rsid w:val="60462D80"/>
    <w:rsid w:val="60780305"/>
    <w:rsid w:val="608A05C3"/>
    <w:rsid w:val="60A263D1"/>
    <w:rsid w:val="60B13450"/>
    <w:rsid w:val="60CE519F"/>
    <w:rsid w:val="60F554D2"/>
    <w:rsid w:val="610E43FE"/>
    <w:rsid w:val="611063C8"/>
    <w:rsid w:val="611F03B9"/>
    <w:rsid w:val="61691F4E"/>
    <w:rsid w:val="6190493F"/>
    <w:rsid w:val="61AD3D72"/>
    <w:rsid w:val="61C55405"/>
    <w:rsid w:val="61F07FA8"/>
    <w:rsid w:val="62083543"/>
    <w:rsid w:val="622567BC"/>
    <w:rsid w:val="623E6288"/>
    <w:rsid w:val="624502F4"/>
    <w:rsid w:val="625E235D"/>
    <w:rsid w:val="627B5AC3"/>
    <w:rsid w:val="628E051F"/>
    <w:rsid w:val="628F156F"/>
    <w:rsid w:val="62A517A3"/>
    <w:rsid w:val="62D3203E"/>
    <w:rsid w:val="630B6758"/>
    <w:rsid w:val="63181501"/>
    <w:rsid w:val="634467FD"/>
    <w:rsid w:val="635F7193"/>
    <w:rsid w:val="636E1D04"/>
    <w:rsid w:val="638E5CCA"/>
    <w:rsid w:val="639257BA"/>
    <w:rsid w:val="63A16E20"/>
    <w:rsid w:val="63BA261B"/>
    <w:rsid w:val="63C17E4E"/>
    <w:rsid w:val="63C811DC"/>
    <w:rsid w:val="63F03AA6"/>
    <w:rsid w:val="642D7291"/>
    <w:rsid w:val="642F3DBC"/>
    <w:rsid w:val="647A07CD"/>
    <w:rsid w:val="649371CA"/>
    <w:rsid w:val="64EA33D4"/>
    <w:rsid w:val="6543199B"/>
    <w:rsid w:val="6560466A"/>
    <w:rsid w:val="659155FE"/>
    <w:rsid w:val="65D26342"/>
    <w:rsid w:val="65EF11D2"/>
    <w:rsid w:val="665C3E5E"/>
    <w:rsid w:val="66633372"/>
    <w:rsid w:val="666845B1"/>
    <w:rsid w:val="66794A10"/>
    <w:rsid w:val="66A114F4"/>
    <w:rsid w:val="66A51361"/>
    <w:rsid w:val="670562A3"/>
    <w:rsid w:val="673E5189"/>
    <w:rsid w:val="6740552D"/>
    <w:rsid w:val="674A351B"/>
    <w:rsid w:val="67627252"/>
    <w:rsid w:val="67766731"/>
    <w:rsid w:val="67801DCE"/>
    <w:rsid w:val="678E0047"/>
    <w:rsid w:val="67C2362B"/>
    <w:rsid w:val="67D77C40"/>
    <w:rsid w:val="67E847C4"/>
    <w:rsid w:val="67EA4439"/>
    <w:rsid w:val="67F311E5"/>
    <w:rsid w:val="68376930"/>
    <w:rsid w:val="684F33CC"/>
    <w:rsid w:val="6870599E"/>
    <w:rsid w:val="68AA7587"/>
    <w:rsid w:val="68CD4B9F"/>
    <w:rsid w:val="68D0193C"/>
    <w:rsid w:val="68E54B38"/>
    <w:rsid w:val="69017358"/>
    <w:rsid w:val="691B1DAE"/>
    <w:rsid w:val="692F6984"/>
    <w:rsid w:val="69472BA3"/>
    <w:rsid w:val="697A2F79"/>
    <w:rsid w:val="699C24DE"/>
    <w:rsid w:val="69A62BA0"/>
    <w:rsid w:val="69AE677E"/>
    <w:rsid w:val="69C97A5C"/>
    <w:rsid w:val="69D43E2D"/>
    <w:rsid w:val="69D62568"/>
    <w:rsid w:val="69DF0B19"/>
    <w:rsid w:val="69F148BD"/>
    <w:rsid w:val="6A211646"/>
    <w:rsid w:val="6A345616"/>
    <w:rsid w:val="6A70612A"/>
    <w:rsid w:val="6A71265F"/>
    <w:rsid w:val="6A8617A8"/>
    <w:rsid w:val="6AC94E5D"/>
    <w:rsid w:val="6AEE3D6B"/>
    <w:rsid w:val="6B084016"/>
    <w:rsid w:val="6B5B46E4"/>
    <w:rsid w:val="6B777F82"/>
    <w:rsid w:val="6B937FD7"/>
    <w:rsid w:val="6BB63F85"/>
    <w:rsid w:val="6BCB6A79"/>
    <w:rsid w:val="6BF03E73"/>
    <w:rsid w:val="6BF84C06"/>
    <w:rsid w:val="6C866827"/>
    <w:rsid w:val="6CD24E7A"/>
    <w:rsid w:val="6CE07597"/>
    <w:rsid w:val="6CE30E35"/>
    <w:rsid w:val="6D104CEB"/>
    <w:rsid w:val="6D1B517B"/>
    <w:rsid w:val="6D3B47CD"/>
    <w:rsid w:val="6D3C785F"/>
    <w:rsid w:val="6D502F04"/>
    <w:rsid w:val="6D5D5A6E"/>
    <w:rsid w:val="6D6C0E2A"/>
    <w:rsid w:val="6D7947F9"/>
    <w:rsid w:val="6D853C9A"/>
    <w:rsid w:val="6DA34120"/>
    <w:rsid w:val="6DB225B5"/>
    <w:rsid w:val="6DFA4688"/>
    <w:rsid w:val="6E05162C"/>
    <w:rsid w:val="6E337B9A"/>
    <w:rsid w:val="6E3C1C6C"/>
    <w:rsid w:val="6E496B8E"/>
    <w:rsid w:val="6E7B6E4B"/>
    <w:rsid w:val="6ECD58F9"/>
    <w:rsid w:val="6EDD518A"/>
    <w:rsid w:val="6EF36963"/>
    <w:rsid w:val="6F107CF3"/>
    <w:rsid w:val="6F2D6397"/>
    <w:rsid w:val="6F40431D"/>
    <w:rsid w:val="6F6B6EC0"/>
    <w:rsid w:val="6F8708C8"/>
    <w:rsid w:val="6F9B7800"/>
    <w:rsid w:val="6FE0165C"/>
    <w:rsid w:val="6FFF4501"/>
    <w:rsid w:val="70512559"/>
    <w:rsid w:val="7060454A"/>
    <w:rsid w:val="706B6E13"/>
    <w:rsid w:val="70700C31"/>
    <w:rsid w:val="707B66FA"/>
    <w:rsid w:val="708B529E"/>
    <w:rsid w:val="70932B72"/>
    <w:rsid w:val="709B0262"/>
    <w:rsid w:val="709F32C5"/>
    <w:rsid w:val="70F25AEA"/>
    <w:rsid w:val="71107D1F"/>
    <w:rsid w:val="712F004A"/>
    <w:rsid w:val="7137174F"/>
    <w:rsid w:val="7161057A"/>
    <w:rsid w:val="71777D9E"/>
    <w:rsid w:val="717A67E4"/>
    <w:rsid w:val="718129CA"/>
    <w:rsid w:val="7189187F"/>
    <w:rsid w:val="719672A6"/>
    <w:rsid w:val="71AC6AA2"/>
    <w:rsid w:val="71CF1988"/>
    <w:rsid w:val="71D914D9"/>
    <w:rsid w:val="71E00E5B"/>
    <w:rsid w:val="71FD64F5"/>
    <w:rsid w:val="721D20CA"/>
    <w:rsid w:val="72345C8F"/>
    <w:rsid w:val="72444124"/>
    <w:rsid w:val="724C122A"/>
    <w:rsid w:val="72505F87"/>
    <w:rsid w:val="7266708D"/>
    <w:rsid w:val="72BD5C84"/>
    <w:rsid w:val="72BD7A32"/>
    <w:rsid w:val="72FC26B1"/>
    <w:rsid w:val="731735E6"/>
    <w:rsid w:val="731C0BFD"/>
    <w:rsid w:val="73612AB3"/>
    <w:rsid w:val="73CD2CCD"/>
    <w:rsid w:val="73D32BDA"/>
    <w:rsid w:val="74062165"/>
    <w:rsid w:val="740A7A6B"/>
    <w:rsid w:val="740D1BDA"/>
    <w:rsid w:val="74131378"/>
    <w:rsid w:val="749D3FBF"/>
    <w:rsid w:val="74B10873"/>
    <w:rsid w:val="74C0380A"/>
    <w:rsid w:val="74FD2434"/>
    <w:rsid w:val="751766A6"/>
    <w:rsid w:val="75322959"/>
    <w:rsid w:val="753F5076"/>
    <w:rsid w:val="75501031"/>
    <w:rsid w:val="756523BF"/>
    <w:rsid w:val="756932A9"/>
    <w:rsid w:val="75695C4F"/>
    <w:rsid w:val="757E3592"/>
    <w:rsid w:val="75B565FD"/>
    <w:rsid w:val="75D964E7"/>
    <w:rsid w:val="75E45C8E"/>
    <w:rsid w:val="76001A3C"/>
    <w:rsid w:val="7647585A"/>
    <w:rsid w:val="76724FD8"/>
    <w:rsid w:val="7689268E"/>
    <w:rsid w:val="76D0280D"/>
    <w:rsid w:val="76DB583A"/>
    <w:rsid w:val="771A18F7"/>
    <w:rsid w:val="772F52F7"/>
    <w:rsid w:val="77404C59"/>
    <w:rsid w:val="77494BAF"/>
    <w:rsid w:val="77536BB7"/>
    <w:rsid w:val="776668EA"/>
    <w:rsid w:val="776C4813"/>
    <w:rsid w:val="777B61DD"/>
    <w:rsid w:val="77895FA4"/>
    <w:rsid w:val="77B7718F"/>
    <w:rsid w:val="77BE4FD6"/>
    <w:rsid w:val="780A196C"/>
    <w:rsid w:val="78414C61"/>
    <w:rsid w:val="784A5EBD"/>
    <w:rsid w:val="78850FF2"/>
    <w:rsid w:val="78857244"/>
    <w:rsid w:val="78A53586"/>
    <w:rsid w:val="78B83176"/>
    <w:rsid w:val="78EF5368"/>
    <w:rsid w:val="7908670E"/>
    <w:rsid w:val="791223D4"/>
    <w:rsid w:val="79273E57"/>
    <w:rsid w:val="795A5FDB"/>
    <w:rsid w:val="79786DA9"/>
    <w:rsid w:val="79933896"/>
    <w:rsid w:val="7997722F"/>
    <w:rsid w:val="79AA0A00"/>
    <w:rsid w:val="79D7762B"/>
    <w:rsid w:val="79EE2BC7"/>
    <w:rsid w:val="7A0F2E64"/>
    <w:rsid w:val="7A252A8D"/>
    <w:rsid w:val="7A391CE2"/>
    <w:rsid w:val="7A4A24F3"/>
    <w:rsid w:val="7A6F5AB6"/>
    <w:rsid w:val="7A773C99"/>
    <w:rsid w:val="7A97325F"/>
    <w:rsid w:val="7AA8546C"/>
    <w:rsid w:val="7ACC676C"/>
    <w:rsid w:val="7AD34EB3"/>
    <w:rsid w:val="7AE53FCA"/>
    <w:rsid w:val="7B14665D"/>
    <w:rsid w:val="7B2F16E9"/>
    <w:rsid w:val="7B31720F"/>
    <w:rsid w:val="7B4F7695"/>
    <w:rsid w:val="7BC42B71"/>
    <w:rsid w:val="7BC47442"/>
    <w:rsid w:val="7BC61B79"/>
    <w:rsid w:val="7C3E61C9"/>
    <w:rsid w:val="7C85311F"/>
    <w:rsid w:val="7C9B6C60"/>
    <w:rsid w:val="7CAF4890"/>
    <w:rsid w:val="7CD509FB"/>
    <w:rsid w:val="7CEF1FB6"/>
    <w:rsid w:val="7D036989"/>
    <w:rsid w:val="7D0C606F"/>
    <w:rsid w:val="7D17376F"/>
    <w:rsid w:val="7D250FF6"/>
    <w:rsid w:val="7D7A4E9D"/>
    <w:rsid w:val="7D957F29"/>
    <w:rsid w:val="7DBF4FA6"/>
    <w:rsid w:val="7DD56578"/>
    <w:rsid w:val="7DE06CCB"/>
    <w:rsid w:val="7DE43995"/>
    <w:rsid w:val="7E176B90"/>
    <w:rsid w:val="7E3C2153"/>
    <w:rsid w:val="7E3D0FC8"/>
    <w:rsid w:val="7E4C2F38"/>
    <w:rsid w:val="7E665422"/>
    <w:rsid w:val="7E7F735C"/>
    <w:rsid w:val="7EE822DB"/>
    <w:rsid w:val="7F0111F4"/>
    <w:rsid w:val="7F17671C"/>
    <w:rsid w:val="7F271055"/>
    <w:rsid w:val="7F2C666B"/>
    <w:rsid w:val="7F590AE3"/>
    <w:rsid w:val="7F89761A"/>
    <w:rsid w:val="7FA06711"/>
    <w:rsid w:val="7FAA1493"/>
    <w:rsid w:val="7FAE52D2"/>
    <w:rsid w:val="7FC13F0A"/>
    <w:rsid w:val="7FEF5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宋体"/>
      <w:kern w:val="0"/>
      <w:sz w:val="34"/>
      <w:szCs w:val="34"/>
    </w:rPr>
  </w:style>
  <w:style w:type="paragraph" w:styleId="5">
    <w:name w:val="annotation text"/>
    <w:basedOn w:val="1"/>
    <w:qFormat/>
    <w:uiPriority w:val="0"/>
    <w:pPr>
      <w:jc w:val="left"/>
    </w:pPr>
  </w:style>
  <w:style w:type="paragraph" w:styleId="6">
    <w:name w:val="index 6"/>
    <w:basedOn w:val="1"/>
    <w:next w:val="1"/>
    <w:qFormat/>
    <w:uiPriority w:val="0"/>
    <w:pPr>
      <w:widowControl/>
    </w:pPr>
    <w:rPr>
      <w:rFonts w:ascii="Times New Roman" w:hAnsi="Times New Roman"/>
      <w:kern w:val="0"/>
      <w:szCs w:val="24"/>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2">
    <w:name w:val="Strong"/>
    <w:basedOn w:val="11"/>
    <w:qFormat/>
    <w:uiPriority w:val="0"/>
    <w:rPr>
      <w:b/>
    </w:rPr>
  </w:style>
  <w:style w:type="character" w:styleId="13">
    <w:name w:val="page number"/>
    <w:basedOn w:val="11"/>
    <w:qFormat/>
    <w:uiPriority w:val="0"/>
  </w:style>
  <w:style w:type="character" w:styleId="14">
    <w:name w:val="Hyperlink"/>
    <w:basedOn w:val="11"/>
    <w:qFormat/>
    <w:uiPriority w:val="0"/>
    <w:rPr>
      <w:color w:val="0000FF"/>
      <w:u w:val="single"/>
    </w:rPr>
  </w:style>
  <w:style w:type="character" w:styleId="15">
    <w:name w:val="annotation reference"/>
    <w:qFormat/>
    <w:uiPriority w:val="99"/>
    <w:rPr>
      <w:sz w:val="21"/>
      <w:szCs w:val="21"/>
    </w:rPr>
  </w:style>
  <w:style w:type="paragraph" w:customStyle="1" w:styleId="16">
    <w:name w:val="样式 首行缩进:  2 字符"/>
    <w:basedOn w:val="1"/>
    <w:qFormat/>
    <w:uiPriority w:val="0"/>
    <w:pPr>
      <w:spacing w:line="400" w:lineRule="exact"/>
      <w:ind w:firstLine="200" w:firstLineChars="200"/>
    </w:pPr>
    <w:rPr>
      <w:rFonts w:ascii="Times New Roman" w:hAnsi="Times New Roman" w:cs="宋体"/>
      <w:sz w:val="24"/>
    </w:rPr>
  </w:style>
  <w:style w:type="character" w:customStyle="1" w:styleId="17">
    <w:name w:val="font21"/>
    <w:basedOn w:val="11"/>
    <w:qFormat/>
    <w:uiPriority w:val="0"/>
    <w:rPr>
      <w:rFonts w:hint="eastAsia" w:ascii="宋体" w:hAnsi="宋体" w:eastAsia="宋体" w:cs="宋体"/>
      <w:color w:val="000000"/>
      <w:sz w:val="22"/>
      <w:szCs w:val="22"/>
      <w:u w:val="none"/>
    </w:rPr>
  </w:style>
  <w:style w:type="character" w:customStyle="1" w:styleId="18">
    <w:name w:val="font11"/>
    <w:basedOn w:val="11"/>
    <w:qFormat/>
    <w:uiPriority w:val="0"/>
    <w:rPr>
      <w:rFonts w:hint="eastAsia" w:ascii="宋体" w:hAnsi="宋体" w:eastAsia="宋体" w:cs="宋体"/>
      <w:color w:val="000000"/>
      <w:sz w:val="22"/>
      <w:szCs w:val="22"/>
      <w:u w:val="none"/>
    </w:rPr>
  </w:style>
  <w:style w:type="paragraph" w:customStyle="1" w:styleId="19">
    <w:name w:val="null3"/>
    <w:hidden/>
    <w:qFormat/>
    <w:uiPriority w:val="0"/>
    <w:rPr>
      <w:rFonts w:hint="eastAsia" w:asciiTheme="minorHAnsi" w:hAnsiTheme="minorHAnsi" w:eastAsiaTheme="minorEastAsia" w:cstheme="minorBidi"/>
      <w:lang w:val="en-US" w:eastAsia="zh-Hans"/>
    </w:rPr>
  </w:style>
  <w:style w:type="paragraph" w:customStyle="1" w:styleId="20">
    <w:name w:val="Table Text"/>
    <w:basedOn w:val="1"/>
    <w:semiHidden/>
    <w:qFormat/>
    <w:uiPriority w:val="0"/>
    <w:rPr>
      <w:rFonts w:ascii="仿宋" w:hAnsi="仿宋" w:eastAsia="仿宋" w:cs="仿宋"/>
      <w:sz w:val="19"/>
      <w:szCs w:val="19"/>
      <w:lang w:val="en-US" w:eastAsia="en-US" w:bidi="ar-SA"/>
    </w:rPr>
  </w:style>
  <w:style w:type="table" w:customStyle="1" w:styleId="2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17724</Words>
  <Characters>19619</Characters>
  <Lines>0</Lines>
  <Paragraphs>0</Paragraphs>
  <TotalTime>11</TotalTime>
  <ScaleCrop>false</ScaleCrop>
  <LinksUpToDate>false</LinksUpToDate>
  <CharactersWithSpaces>19988</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2022-06-22T01:30:00Z</dcterms:created>
  <dc:creator>成市四院</dc:creator>
  <cp:lastModifiedBy>CWK-LI</cp:lastModifiedBy>
  <cp:lastPrinted>2026-03-01T23:55:59Z</cp:lastPrinted>
  <dcterms:modified xsi:type="dcterms:W3CDTF">2026-03-01T23:57:39Z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A4BD86CFAC5542E6AD2327A93DA8CE4A_13</vt:lpwstr>
  </property>
  <property fmtid="{D5CDD505-2E9C-101B-9397-08002B2CF9AE}" pid="4" name="KSOTemplateDocerSaveRecord">
    <vt:lpwstr>eyJoZGlkIjoiOWVmZDZmNmU0ZGViZTZlMjUzMWIxZDMyN2M5YjI0MmMiLCJ1c2VySWQiOiI2NzgxNzExNDQifQ==</vt:lpwstr>
  </property>
</Properties>
</file>