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附表1：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报价表</w:t>
      </w:r>
    </w:p>
    <w:tbl>
      <w:tblPr>
        <w:tblStyle w:val="9"/>
        <w:tblW w:w="11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24"/>
        <w:gridCol w:w="1526"/>
        <w:gridCol w:w="997"/>
        <w:gridCol w:w="883"/>
        <w:gridCol w:w="2040"/>
        <w:gridCol w:w="1725"/>
        <w:gridCol w:w="1050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ind w:left="1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ind w:left="1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ind w:left="1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采购数量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zh-CN" w:eastAsia="zh-CN" w:bidi="ar-SA"/>
              </w:rPr>
              <w:t>单位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zh-CN" w:eastAsia="zh-CN" w:bidi="ar-SA"/>
              </w:rPr>
              <w:t>最高单价限价（元）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单价报价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zh-CN" w:eastAsia="zh-CN" w:bidi="ar-SA"/>
              </w:rPr>
              <w:t>元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总价（元）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5P冷暖天花机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8800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3P冷暖天花机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7800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5P铜管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150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3P铜管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拆旧机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250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5P背架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副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220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3P背架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副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180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安装费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2000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555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报价合计：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大写：</w:t>
            </w: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注：1、报价应是最终用户验收合格后的总价，包括运输、保险、代理、安装调试、培训、税费、系统集成费用和采购文件规定的其它费用等一切费用。</w:t>
      </w:r>
    </w:p>
    <w:p>
      <w:pPr>
        <w:ind w:firstLine="422" w:firstLineChars="200"/>
        <w:rPr>
          <w:rFonts w:hint="eastAsia"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的报价在本项目服务期内应是固定不变的，</w:t>
      </w:r>
      <w:r>
        <w:rPr>
          <w:rFonts w:hint="eastAsia" w:ascii="仿宋" w:hAnsi="仿宋" w:eastAsia="仿宋" w:cs="仿宋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在参加本次采购活动时应综合考虑物价调整等政策及市场变化因素。如遇物价标准调整等政策及市场变化原因导致成交人运营成本增加，成交人应自行解决，采购人不承担任何与此相关的费用。</w:t>
      </w:r>
    </w:p>
    <w:p>
      <w:pPr>
        <w:spacing w:line="440" w:lineRule="exact"/>
        <w:ind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法定代表人或代理人（签字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附表2：</w:t>
      </w:r>
    </w:p>
    <w:p>
      <w:pPr>
        <w:spacing w:line="360" w:lineRule="auto"/>
        <w:jc w:val="center"/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最终报价表</w:t>
      </w:r>
    </w:p>
    <w:tbl>
      <w:tblPr>
        <w:tblStyle w:val="9"/>
        <w:tblW w:w="11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24"/>
        <w:gridCol w:w="1526"/>
        <w:gridCol w:w="997"/>
        <w:gridCol w:w="883"/>
        <w:gridCol w:w="2040"/>
        <w:gridCol w:w="1725"/>
        <w:gridCol w:w="1050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ind w:left="1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ind w:left="1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ind w:left="1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采购数量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zh-CN" w:eastAsia="zh-CN" w:bidi="ar-SA"/>
              </w:rPr>
              <w:t>单位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zh-CN" w:eastAsia="zh-CN" w:bidi="ar-SA"/>
              </w:rPr>
              <w:t>最高单价限价（元）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单价报价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zh-CN" w:eastAsia="zh-CN" w:bidi="ar-SA"/>
              </w:rPr>
              <w:t>元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总价（元）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13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5P冷暖天花机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8800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3P冷暖天花机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7800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5P铜管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150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3P铜管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拆旧机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250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5P背架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副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220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3P背架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副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180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安装费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2000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555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报价合计：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大写：</w:t>
            </w: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注：1、报价应是最终用户验收合格后的总价，包括运输、保险、代理、安装调试、培训、税费、系统集成费用和采购文件规定的其它费用等一切费用。</w:t>
      </w:r>
    </w:p>
    <w:p>
      <w:pPr>
        <w:ind w:firstLine="422" w:firstLineChars="200"/>
        <w:rPr>
          <w:rFonts w:hint="eastAsia"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的报价在本项目服务期内应是固定不变的，</w:t>
      </w:r>
      <w:r>
        <w:rPr>
          <w:rFonts w:hint="eastAsia" w:ascii="仿宋" w:hAnsi="仿宋" w:eastAsia="仿宋" w:cs="仿宋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在参加本次采购活动时应综合考虑物价调整等政策及市场变化因素。如遇物价标准调整等政策及市场变化原因导致成交人运营成本增加，成交人应自行解决，采购人不承担任何与此相关的费用。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、最终报价表由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在比价评审现场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谈判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后填写，请将此表一并装订入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比价响应文件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中。请在编制文件完成后删除此段话。</w:t>
      </w:r>
    </w:p>
    <w:p>
      <w:pPr>
        <w:pStyle w:val="8"/>
        <w:spacing w:line="240" w:lineRule="auto"/>
        <w:ind w:left="0" w:leftChars="0" w:firstLine="0" w:firstLineChars="0"/>
        <w:rPr>
          <w:rFonts w:ascii="仿宋" w:hAnsi="仿宋" w:eastAsia="仿宋" w:cs="仿宋"/>
        </w:rPr>
      </w:pPr>
    </w:p>
    <w:p>
      <w:pPr>
        <w:spacing w:line="440" w:lineRule="exact"/>
        <w:ind w:right="-351" w:rightChars="-167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法定代表人或代理人（签字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00042"/>
    <w:multiLevelType w:val="multilevel"/>
    <w:tmpl w:val="0A80004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11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e11418c0-51a9-4cb7-b118-31f1eedb4df0"/>
  </w:docVars>
  <w:rsids>
    <w:rsidRoot w:val="00000000"/>
    <w:rsid w:val="000062FD"/>
    <w:rsid w:val="01053FED"/>
    <w:rsid w:val="21973A0E"/>
    <w:rsid w:val="31554954"/>
    <w:rsid w:val="49CE624C"/>
    <w:rsid w:val="4B727D07"/>
    <w:rsid w:val="67810156"/>
    <w:rsid w:val="67911A2E"/>
    <w:rsid w:val="6DFB341D"/>
    <w:rsid w:val="727D773A"/>
    <w:rsid w:val="7F1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8">
    <w:name w:val="Body Text First Indent 2"/>
    <w:basedOn w:val="3"/>
    <w:next w:val="7"/>
    <w:qFormat/>
    <w:uiPriority w:val="0"/>
    <w:pPr>
      <w:spacing w:line="440" w:lineRule="exact"/>
      <w:ind w:firstLine="720" w:firstLineChars="200"/>
    </w:pPr>
    <w:rPr>
      <w:rFonts w:ascii="Arial" w:hAnsi="Arial" w:cs="Arial"/>
      <w:szCs w:val="21"/>
    </w:rPr>
  </w:style>
  <w:style w:type="paragraph" w:customStyle="1" w:styleId="11">
    <w:name w:val="标题 5（有编号）（绿盟科技）"/>
    <w:basedOn w:val="1"/>
    <w:next w:val="12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华文中宋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1160</Characters>
  <Lines>0</Lines>
  <Paragraphs>0</Paragraphs>
  <TotalTime>3</TotalTime>
  <ScaleCrop>false</ScaleCrop>
  <LinksUpToDate>false</LinksUpToDate>
  <CharactersWithSpaces>1237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2023-03-13T06:22:00Z</dcterms:created>
  <dc:creator>四院</dc:creator>
  <cp:lastModifiedBy>WPS_1591351320</cp:lastModifiedBy>
  <cp:lastPrinted>2023-03-13T07:57:00Z</cp:lastPrinted>
  <dcterms:modified xsi:type="dcterms:W3CDTF">2024-04-12T07:17:25Z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21B4191081624E8EA3892CFDD5091620_13</vt:lpwstr>
  </property>
</Properties>
</file>