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附件1：</w:t>
      </w:r>
    </w:p>
    <w:p>
      <w:pPr>
        <w:wordWrap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营门口院区餐厨垃圾收运服务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质量考核表</w:t>
      </w:r>
    </w:p>
    <w:p>
      <w:pPr>
        <w:pStyle w:val="2"/>
        <w:rPr>
          <w:rFonts w:hint="eastAsia"/>
          <w:color w:val="auto"/>
        </w:rPr>
      </w:pPr>
    </w:p>
    <w:p>
      <w:pPr>
        <w:spacing w:line="400" w:lineRule="exact"/>
        <w:jc w:val="left"/>
        <w:rPr>
          <w:rFonts w:hint="eastAsia"/>
          <w:b/>
          <w:bCs/>
          <w:color w:val="auto"/>
          <w:sz w:val="28"/>
          <w:szCs w:val="28"/>
          <w:u w:val="none"/>
        </w:rPr>
      </w:pPr>
      <w:r>
        <w:rPr>
          <w:rFonts w:hint="eastAsia"/>
          <w:b/>
          <w:bCs/>
          <w:color w:val="auto"/>
          <w:sz w:val="28"/>
          <w:szCs w:val="28"/>
          <w:u w:val="none"/>
        </w:rPr>
        <w:t>时间：</w:t>
      </w:r>
    </w:p>
    <w:p>
      <w:pPr>
        <w:pStyle w:val="2"/>
        <w:rPr>
          <w:rFonts w:hint="eastAsia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06"/>
        <w:gridCol w:w="5152"/>
        <w:gridCol w:w="696"/>
        <w:gridCol w:w="147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类别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考核标准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分值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考核扣分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证件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相关证件符合国家相关规定并在有效期内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不符合要求扣除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服务态度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相关服务人员服务态度良好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不符合要求扣除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收运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按照合同相关要求进行收运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不符合要求扣除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相关产品符合合同相关规定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缺陷记录</w:t>
            </w:r>
          </w:p>
        </w:tc>
        <w:tc>
          <w:tcPr>
            <w:tcW w:w="9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p>
      <w:pPr>
        <w:spacing w:line="3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科室负责人：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考核人：</w:t>
      </w:r>
    </w:p>
    <w:p>
      <w:pPr>
        <w:pStyle w:val="20"/>
        <w:rPr>
          <w:rFonts w:hint="default"/>
          <w:lang w:val="en-US" w:eastAsia="zh-CN"/>
        </w:rPr>
      </w:pPr>
    </w:p>
    <w:p>
      <w:pPr>
        <w:pStyle w:val="17"/>
        <w:spacing w:line="380" w:lineRule="exact"/>
        <w:jc w:val="both"/>
        <w:rPr>
          <w:rFonts w:ascii="仿宋" w:hAnsi="仿宋" w:eastAsia="仿宋" w:cs="宋体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成都市第四人民医院九江院区餐厨垃圾收运服务采购项目（第三次）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比价过程中所签署的一切文件和处理与之有关的一切事务，本公司及我本人均予以承认，并全部承担其所产生的所有权利和义务。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b42fc864-8632-4618-8bae-23e0c32f3770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B920E4C"/>
    <w:rsid w:val="0F0D5446"/>
    <w:rsid w:val="0F980F8E"/>
    <w:rsid w:val="102B387A"/>
    <w:rsid w:val="104F5367"/>
    <w:rsid w:val="10B628CF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69469F"/>
    <w:rsid w:val="2AC975EB"/>
    <w:rsid w:val="2BCA46EF"/>
    <w:rsid w:val="2C050205"/>
    <w:rsid w:val="30B31B89"/>
    <w:rsid w:val="30D54A39"/>
    <w:rsid w:val="30F3784D"/>
    <w:rsid w:val="311A0C4C"/>
    <w:rsid w:val="32B1065A"/>
    <w:rsid w:val="32CB7411"/>
    <w:rsid w:val="336E0F92"/>
    <w:rsid w:val="358F082D"/>
    <w:rsid w:val="36981C2C"/>
    <w:rsid w:val="37627C26"/>
    <w:rsid w:val="3A0E2FA5"/>
    <w:rsid w:val="3ADF6106"/>
    <w:rsid w:val="3C2776B7"/>
    <w:rsid w:val="3DBC1617"/>
    <w:rsid w:val="3F043905"/>
    <w:rsid w:val="3F7F6344"/>
    <w:rsid w:val="3F896BD9"/>
    <w:rsid w:val="413A72E8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24C582A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5F42064A"/>
    <w:rsid w:val="6301272F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2A0172"/>
    <w:rsid w:val="74E63AFB"/>
    <w:rsid w:val="75F26F32"/>
    <w:rsid w:val="761F3A1E"/>
    <w:rsid w:val="76816FC9"/>
    <w:rsid w:val="76950D6D"/>
    <w:rsid w:val="7A486491"/>
    <w:rsid w:val="7A7F1A71"/>
    <w:rsid w:val="7CA77747"/>
    <w:rsid w:val="7F4335D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@仿宋_GB2312" w:hAnsi="@仿宋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2499</Words>
  <Characters>2594</Characters>
  <Lines>21</Lines>
  <Paragraphs>6</Paragraphs>
  <TotalTime>1</TotalTime>
  <ScaleCrop>false</ScaleCrop>
  <LinksUpToDate>false</LinksUpToDate>
  <CharactersWithSpaces>2873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2024-01-30T08:42:23Z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FE2F606886ED47628EF84CDA7F66423C_13</vt:lpwstr>
  </property>
</Properties>
</file>