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  <w:t>附件1：</w:t>
      </w:r>
    </w:p>
    <w:p>
      <w:pPr>
        <w:wordWrap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营门口院区餐厨垃圾收运服务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质量考核表</w:t>
      </w:r>
    </w:p>
    <w:p>
      <w:pPr>
        <w:pStyle w:val="2"/>
        <w:rPr>
          <w:rFonts w:hint="eastAsia"/>
          <w:color w:val="auto"/>
        </w:rPr>
      </w:pPr>
    </w:p>
    <w:p>
      <w:pPr>
        <w:spacing w:line="400" w:lineRule="exact"/>
        <w:jc w:val="left"/>
        <w:rPr>
          <w:rFonts w:hint="eastAsia"/>
          <w:b/>
          <w:bCs/>
          <w:color w:val="auto"/>
          <w:sz w:val="28"/>
          <w:szCs w:val="28"/>
          <w:u w:val="none"/>
        </w:rPr>
      </w:pPr>
      <w:r>
        <w:rPr>
          <w:rFonts w:hint="eastAsia"/>
          <w:b/>
          <w:bCs/>
          <w:color w:val="auto"/>
          <w:sz w:val="28"/>
          <w:szCs w:val="28"/>
          <w:u w:val="none"/>
        </w:rPr>
        <w:t>时间：</w:t>
      </w:r>
    </w:p>
    <w:p>
      <w:pPr>
        <w:pStyle w:val="2"/>
        <w:rPr>
          <w:rFonts w:hint="eastAsia"/>
        </w:rPr>
      </w:pPr>
    </w:p>
    <w:tbl>
      <w:tblPr>
        <w:tblStyle w:val="11"/>
        <w:tblpPr w:leftFromText="180" w:rightFromText="180" w:vertAnchor="text" w:tblpXSpec="center" w:tblpY="1"/>
        <w:tblOverlap w:val="never"/>
        <w:tblW w:w="9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806"/>
        <w:gridCol w:w="5152"/>
        <w:gridCol w:w="696"/>
        <w:gridCol w:w="1478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类别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考核标准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分值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考核扣分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证件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相关证件符合国家相关规定并在有效期内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不符合要求扣除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服务态度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相关服务人员服务态度良好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不符合要求扣除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收运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按照合同相关要求进行收运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不符合要求扣除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质量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相关产品符合合同相关规定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不符要求扣除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合计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缺陷记录</w:t>
            </w:r>
          </w:p>
        </w:tc>
        <w:tc>
          <w:tcPr>
            <w:tcW w:w="93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spacing w:line="30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</w:p>
    <w:p>
      <w:pPr>
        <w:spacing w:line="3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科室负责人：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考核人：</w:t>
      </w:r>
    </w:p>
    <w:p>
      <w:pPr>
        <w:pStyle w:val="20"/>
        <w:rPr>
          <w:rFonts w:hint="default"/>
          <w:lang w:val="en-US" w:eastAsia="zh-CN"/>
        </w:rPr>
      </w:pPr>
    </w:p>
    <w:p>
      <w:pPr>
        <w:pStyle w:val="17"/>
        <w:spacing w:line="380" w:lineRule="exact"/>
        <w:jc w:val="both"/>
        <w:rPr>
          <w:rFonts w:ascii="仿宋" w:hAnsi="仿宋" w:eastAsia="仿宋" w:cs="宋体"/>
          <w:color w:val="00000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成都市第四人民医院九江院区餐厨垃圾收运服务采购项目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比价申请人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比价过程中所签署的一切文件和处理与之有关的一切事务，本公司及我本人均予以承认，并全部承担其所产生的所有权利和义务。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b42fc864-8632-4618-8bae-23e0c32f3770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A904ED9"/>
    <w:rsid w:val="0B920E4C"/>
    <w:rsid w:val="0F0D5446"/>
    <w:rsid w:val="0F980F8E"/>
    <w:rsid w:val="102B387A"/>
    <w:rsid w:val="104F5367"/>
    <w:rsid w:val="10B628CF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80451E0"/>
    <w:rsid w:val="2AC975EB"/>
    <w:rsid w:val="2BCA46EF"/>
    <w:rsid w:val="2C050205"/>
    <w:rsid w:val="30B31B89"/>
    <w:rsid w:val="30D54A39"/>
    <w:rsid w:val="30F3784D"/>
    <w:rsid w:val="311A0C4C"/>
    <w:rsid w:val="32B1065A"/>
    <w:rsid w:val="32CB7411"/>
    <w:rsid w:val="336E0F92"/>
    <w:rsid w:val="358F082D"/>
    <w:rsid w:val="36981C2C"/>
    <w:rsid w:val="37627C26"/>
    <w:rsid w:val="397249D3"/>
    <w:rsid w:val="3A0E2FA5"/>
    <w:rsid w:val="3ADF6106"/>
    <w:rsid w:val="3C2776B7"/>
    <w:rsid w:val="3DBC1617"/>
    <w:rsid w:val="3F043905"/>
    <w:rsid w:val="3F7F6344"/>
    <w:rsid w:val="3F896BD9"/>
    <w:rsid w:val="413A72E8"/>
    <w:rsid w:val="42FC75D2"/>
    <w:rsid w:val="442C79FB"/>
    <w:rsid w:val="44586491"/>
    <w:rsid w:val="4685178A"/>
    <w:rsid w:val="46F558B2"/>
    <w:rsid w:val="48DC025D"/>
    <w:rsid w:val="494077FE"/>
    <w:rsid w:val="4B112357"/>
    <w:rsid w:val="4B736055"/>
    <w:rsid w:val="4EAB488E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A6D5D85"/>
    <w:rsid w:val="5E0B1E81"/>
    <w:rsid w:val="5E7C710E"/>
    <w:rsid w:val="5EFD5F0A"/>
    <w:rsid w:val="5F42064A"/>
    <w:rsid w:val="6301272F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E63AFB"/>
    <w:rsid w:val="75F26F32"/>
    <w:rsid w:val="761F3A1E"/>
    <w:rsid w:val="76816FC9"/>
    <w:rsid w:val="76950D6D"/>
    <w:rsid w:val="7A486491"/>
    <w:rsid w:val="7A7F1A71"/>
    <w:rsid w:val="7CA77747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@仿宋_GB2312" w:hAnsi="@仿宋_GB2312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2484</Words>
  <Characters>2579</Characters>
  <Lines>21</Lines>
  <Paragraphs>6</Paragraphs>
  <TotalTime>4</TotalTime>
  <ScaleCrop>false</ScaleCrop>
  <LinksUpToDate>false</LinksUpToDate>
  <CharactersWithSpaces>2858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2024-01-17T09:39:49Z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3162EEA003D74CD5952724CC4A55A39D_13</vt:lpwstr>
  </property>
</Properties>
</file>